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w15">
  <ns0:body>
    <ns0:p>
      <ns0:pPr>
        <ns0:pStyle ns0:val="Heading"/>
        <ns0:rPr>
          <ns0:sz ns0:val="24"/>
          <ns0:lang ns0:val="ru-RU"/>
        </ns0:rPr>
      </ns0:pPr>
      <ns0:r>
        <ns0:rPr>
          <ns0:sz ns0:val="24"/>
        </ns0:rPr>
        <ns0:t>ДОГОВОР № G03/2026</ns0:t>
      </ns0:r>
    </ns0:p>
    <ns0:p>
      <ns0:pPr>
        <ns0:pStyle ns0:val="Normal"/>
        <ns0:jc ns0:val="both"/>
        <ns0:rPr>
          <ns0:sz ns0:val="24"/>
          <ns0:lang ns0:val="ru-RU"/>
        </ns0:rPr>
      </ns0:pPr>
      <ns0:r>
        <ns0:rPr>
          <ns0:sz ns0:val="24"/>
          <ns0:lang ns0:val="ru-RU"/>
        </ns0:rPr>
      </ns0:r>
    </ns0:p>
    <ns0:p>
      <ns0:pPr>
        <ns0:pStyle ns0:val="Normal"/>
        <ns0:jc ns0:val="both"/>
        <ns0:rPr/>
      </ns0:pPr>
      <ns0:r>
        <ns0:rPr/>
        <ns0:t>г. Воронеж                                                                                                            «16» ноября 2026 г.</ns0:t>
      </ns0:r>
    </ns0:p>
    <ns0:p>
      <ns0:pPr>
        <ns0:pStyle ns0:val="Normal"/>
        <ns0:jc ns0:val="both"/>
        <ns0:rPr/>
      </ns0:pPr>
      <ns0:r>
        <ns0:rPr/>
      </ns0:r>
    </ns0:p>
    <ns0:p>
      <ns0:pPr>
        <ns0:pStyle ns0:val="Style17"/>
        <ns0:ind ns0:start="-284" ns0:end="0"/>
        <ns0:jc ns0:val="both"/>
        <ns0:rPr>
          <ns0:rFonts ns0:ascii="Times New Roman" ns0:hAnsi="Times New Roman" ns0:cs="Times New Roman"/>
          <ns0:sz ns0:val="24"/>
          <ns0:szCs ns0:val="24"/>
        </ns0:rPr>
      </ns0:pPr>
      <ns0:bookmarkStart ns0:id="0" ns0:name="_Hlk140132066"/>
      <ns0:bookmarkStart ns0:id="1" ns0:name="_Hlk140132106"/>
      <ns0:bookmarkEnd ns0:id="0"/>
      <ns0:r>
        <ns0:rPr>
          <ns0:rFonts ns0:cs="Times New Roman" ns0:ascii="Times New Roman" ns0:hAnsi="Times New Roman"/>
          <ns0:b/>
          <ns0:sz ns0:val="24"/>
          <ns0:szCs ns0:val="24"/>
        </ns0:rPr>
        <ns0:t>ООО «ТПК «Тензосила»</ns0:t>
      </ns0:r>
      <ns0:r>
        <ns0:rPr>
          <ns0:rFonts ns0:cs="Times New Roman" ns0:ascii="Times New Roman" ns0:hAnsi="Times New Roman"/>
          <ns0:sz ns0:val="24"/>
          <ns0:szCs ns0:val="24"/>
        </ns0:rPr>
        <ns0:t xml:space="preserve">, именуемое в дальнейшем «Подрядчик», в лице директора Сенаторова Олега Александровича, действующего на основании Устава, с одной стороны и </ns0:t>
      </ns0:r>
    </ns0:p>
    <ns0:p>
      <ns0:pPr>
        <ns0:pStyle ns0:val="Style17"/>
        <ns0:ind ns0:start="-284" ns0:end="0"/>
        <ns0:jc ns0:val="both"/>
        <ns0:rPr>
          <ns0:rFonts ns0:ascii="Times New Roman" ns0:hAnsi="Times New Roman" ns0:cs="Times New Roman"/>
          <ns0:sz ns0:val="24"/>
          <ns0:szCs ns0:val="24"/>
        </ns0:rPr>
      </ns0:pPr>
      <ns0:r>
        <ns0:rPr>
          <ns0:rFonts ns0:eastAsia="Times New Roman" ns0:cs="Times New Roman" ns0:ascii="Times New Roman" ns0:hAnsi="Times New Roman"/>
          <ns0:b/>
          <ns0:bCs/>
          <ns0:sz ns0:val="24"/>
          <ns0:szCs ns0:val="24"/>
          <ns0:lang ns0:eastAsia="ru-RU"/>
        </ns0:rPr>
        <ns0:t>ООО «Ромашка»</ns0:t>
      </ns0:r>
      <ns0:r>
        <ns0:rPr>
          <ns0:rFonts ns0:eastAsia="Times New Roman" ns0:cs="Times New Roman" ns0:ascii="Times New Roman" ns0:hAnsi="Times New Roman"/>
          <ns0:b/>
          <ns0:sz ns0:val="24"/>
          <ns0:szCs ns0:val="24"/>
          <ns0:lang ns0:eastAsia="ru-RU"/>
        </ns0:rPr>
        <ns0:t>,</ns0:t>
      </ns0:r>
      <ns0:r>
        <ns0:rPr>
          <ns0:rFonts ns0:eastAsia="Times New Roman" ns0:cs="Times New Roman" ns0:ascii="Times New Roman" ns0:hAnsi="Times New Roman"/>
          <ns0:sz ns0:val="24"/>
          <ns0:szCs ns0:val="24"/>
          <ns0:lang ns0:eastAsia="ru-RU"/>
        </ns0:rPr>
        <ns0:t xml:space="preserve"> именуемое в дальнейшем «Заказчик», в лице Генерального директора Иванова Ивана Ивановича, действующего на основании Устава, с другой стороны, именуемые совместно «Стороны»</ns0:t>
      </ns0:r>
      <ns0:r>
        <ns0:rPr>
          <ns0:rFonts ns0:cs="Times New Roman" ns0:ascii="Times New Roman" ns0:hAnsi="Times New Roman"/>
          <ns0:sz ns0:val="24"/>
          <ns0:szCs ns0:val="24"/>
        </ns0:rPr>
        <ns0:t>, заключили настоящий договор (далее – Договор) о нижеследующем:</ns0:t>
      </ns0:r>
      <ns0:bookmarkEnd ns0:id="1"/>
    </ns0:p>
    <ns0:p>
      <ns0:pPr>
        <ns0:pStyle ns0:val="Style17"/>
        <ns0:ind ns0:start="-284" ns0:end="0"/>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bookmarkStart ns0:id="2" ns0:name="_Hlk140132066"/>
      <ns0:bookmarkStart ns0:id="3" ns0:name="_Hlk140132066"/>
      <ns0:bookmarkEnd ns0:id="3"/>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ПРЕДМЕТ ДОГОВОРА</ns0:t>
      </ns0:r>
    </ns0:p>
    <ns0:p>
      <ns0:pPr>
        <ns0:pStyle ns0:val="Style16"/>
        <ns0:ind ns0:start="465"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Подрядчик обязуется поставить комплект весов</ns0:t>
      </ns0:r>
      <ns0:r>
        <ns0:rPr>
          <ns0:rFonts ns0:cs="Times New Roman" ns0:ascii="Times New Roman" ns0:hAnsi="Times New Roman"/>
          <ns0:sz ns0:val="24"/>
          <ns0:szCs ns0:val="24"/>
          <ns0:lang ns0:val="ru-RU"/>
        </ns0:rPr>
        <ns0:t xml:space="preserve"> </ns0:t>
      </ns0:r>
      <ns0:r>
        <ns0:rPr>
          <ns0:rFonts ns0:cs="Times New Roman" ns0:ascii="Times New Roman" ns0:hAnsi="Times New Roman"/>
          <ns0:sz ns0:val="24"/>
          <ns0:szCs ns0:val="24"/>
        </ns0:rPr>
        <ns0:t>согласно Спецификации (далее - «Весы»), в также выполнить сопутствующие работы согласно Спецификации (далее - «Работы»). Наименование, количество, характеристика и комплектность Весов, а также перечень Работ определяются в Спецификациях, являющихся неотъемлемой частью Договора.</ns0:t>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Заказчик обязуется принять Весы и Работы, оплатить их по ценам, на условиях и в сроки, предусмотренные Договором и Спецификациями, и обеспечить необходимые условия для выполнения Работ.</ns0:t>
      </ns0:r>
    </ns0:p>
    <ns0:p>
      <ns0:pPr>
        <ns0:pStyle ns0:val="Style16"/>
        <ns0:tabs>
          <ns0:tab ns0:val="clear" ns0:pos="708"/>
          <ns0:tab ns0:val="left" ns0:pos="284" ns0:leader="none"/>
        </ns0:tabs>
        <ns0:ind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ОБЯЗАННОСТИ СТОРОН</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3"/>
        </ns0:numPr>
        <ns0:jc ns0:val="both"/>
        <ns0:rPr>
          <ns0:b/>
          <ns0:bCs/>
        </ns0:rPr>
      </ns0:pPr>
      <ns0:r>
        <ns0:rPr>
          <ns0:b/>
          <ns0:bCs/>
        </ns0:rPr>
        <ns0:t>Заказчик обязуется:</ns0:t>
      </ns0:r>
    </ns0:p>
    <ns0:p>
      <ns0:pPr>
        <ns0:pStyle ns0:val="Style21"/>
        <ns0:numPr>
          <ns0:ilvl ns0:val="2"/>
          <ns0:numId ns0:val="3"/>
        </ns0:numPr>
        <ns0:jc ns0:val="both"/>
        <ns0:rPr/>
      </ns0:pPr>
      <ns0:r>
        <ns0:rPr/>
        <ns0:t>Назначить письменным приказом и предоставить копию приказа Подрядчику в течение 1 (одного) рабочего дня со дня действия договора ответственного за проведение Работ, уполномоченного принимать решения и выполненные Работы, а также подписывать документы с целью обеспечения выполнения Работ.</ns0:t>
      </ns0:r>
    </ns0:p>
    <ns0:p>
      <ns0:pPr>
        <ns0:pStyle ns0:val="Style21"/>
        <ns0:numPr>
          <ns0:ilvl ns0:val="2"/>
          <ns0:numId ns0:val="3"/>
        </ns0:numPr>
        <ns0:jc ns0:val="both"/>
        <ns0:rPr/>
      </ns0:pPr>
      <ns0:r>
        <ns0:rPr/>
        <ns0:t>Обеспечить беспрепятственный доступ представителей Подрядчика на территорию выполнения Работ, указанную в Спецификациях к Договору.</ns0:t>
      </ns0:r>
    </ns0:p>
    <ns0:p>
      <ns0:pPr>
        <ns0:pStyle ns0:val="Style21"/>
        <ns0:numPr>
          <ns0:ilvl ns0:val="2"/>
          <ns0:numId ns0:val="3"/>
        </ns0:numPr>
        <ns0:jc ns0:val="both"/>
        <ns0:rPr/>
      </ns0:pPr>
      <ns0:r>
        <ns0:rPr/>
        <ns0:t>Обеспечить свободный подъезд и стоянку служебного автотранспорта Подрядчика не далее 20 метров от места установки Весов.</ns0:t>
      </ns0:r>
    </ns0:p>
    <ns0:p>
      <ns0:pPr>
        <ns0:pStyle ns0:val="Style21"/>
        <ns0:numPr>
          <ns0:ilvl ns0:val="2"/>
          <ns0:numId ns0:val="3"/>
        </ns0:numPr>
        <ns0:jc ns0:val="both"/>
        <ns0:rPr/>
      </ns0:pPr>
      <ns0:r>
        <ns0:rPr>
          <ns0:rFonts ns0:eastAsia="SimSun;宋体"/>
        </ns0:rPr>
        <ns0:t>Предоставить</ns0:t>
      </ns0:r>
      <ns0:r>
        <ns0:rPr/>
        <ns0:t xml:space="preserve"> з</ns0:t>
      </ns0:r>
      <ns0:r>
        <ns0:rPr>
          <ns0:rFonts ns0:eastAsia="SimSun;宋体"/>
        </ns0:rPr>
        <ns0:t>а свой счёт охраняемое служебно-бытовое помещение, не далее 20 метров от объекта для хранения инструмента и оборудования на время выполнения Работ.</ns0:t>
      </ns0:r>
    </ns0:p>
    <ns0:p>
      <ns0:pPr>
        <ns0:pStyle ns0:val="Style21"/>
        <ns0:numPr>
          <ns0:ilvl ns0:val="2"/>
          <ns0:numId ns0:val="3"/>
        </ns0:numPr>
        <ns0:jc ns0:val="both"/>
        <ns0:rPr/>
      </ns0:pPr>
      <ns0:r>
        <ns0:rPr/>
        <ns0:t>Осуществить все необходимые согласования и передать Подрядчику документы, подтверждающие разрешение соответствующих органов на производство Работ и установку Весов на территории прохождения подземных коммуникаций, в зоне воздушных линий электропередач, линий связи в случае их наличия.</ns0:t>
      </ns0:r>
    </ns0:p>
    <ns0:p>
      <ns0:pPr>
        <ns0:pStyle ns0:val="Style21"/>
        <ns0:numPr>
          <ns0:ilvl ns0:val="2"/>
          <ns0:numId ns0:val="3"/>
        </ns0:numPr>
        <ns0:jc ns0:val="both"/>
        <ns0:rPr/>
      </ns0:pPr>
      <ns0:r>
        <ns0:rPr/>
        <ns0:t>Подготовить площадку для выполнения Работ и монтажа Весов, расчистить и освободить ее от посторонних предметов.</ns0:t>
      </ns0:r>
    </ns0:p>
    <ns0:p>
      <ns0:pPr>
        <ns0:pStyle ns0:val="Style21"/>
        <ns0:numPr>
          <ns0:ilvl ns0:val="2"/>
          <ns0:numId ns0:val="3"/>
        </ns0:numPr>
        <ns0:jc ns0:val="both"/>
        <ns0:rPr/>
      </ns0:pPr>
      <ns0:r>
        <ns0:rPr>
          <ns0:bCs/>
        </ns0:rPr>
        <ns0:t xml:space="preserve">Предоставить точку подключения </ns0:t>
      </ns0:r>
      <ns0:r>
        <ns0:rPr/>
        <ns0:t>электропитания 220В мощностью не менее 5кВт не</ns0:t>
      </ns0:r>
      <ns0:r>
        <ns0:rPr>
          <ns0:bCs/>
        </ns0:rPr>
        <ns0:t xml:space="preserve"> далее 10м</ns0:t>
      </ns0:r>
      <ns0:r>
        <ns0:rPr/>
        <ns0:t xml:space="preserve"> от места проведения Работ для подключения оборудования, взяв на себя расходы, связанные с потреблением электропитания в период проведения Работ.</ns0:t>
      </ns0:r>
    </ns0:p>
    <ns0:p>
      <ns0:pPr>
        <ns0:pStyle ns0:val="Style21"/>
        <ns0:numPr>
          <ns0:ilvl ns0:val="2"/>
          <ns0:numId ns0:val="3"/>
        </ns0:numPr>
        <ns0:jc ns0:val="both"/>
        <ns0:rPr/>
      </ns0:pPr>
      <ns0:r>
        <ns0:rPr/>
        <ns0:t>Если Заказчик, согласно Спецификации, предоставляет специальную технику, то расходы, по обеспечению данных работ, в полном объеме несет Заказчик.</ns0:t>
      </ns0:r>
    </ns0:p>
    <ns0:p>
      <ns0:pPr>
        <ns0:pStyle ns0:val="Style21"/>
        <ns0:numPr>
          <ns0:ilvl ns0:val="2"/>
          <ns0:numId ns0:val="3"/>
        </ns0:numPr>
        <ns0:jc ns0:val="both"/>
        <ns0:rPr/>
      </ns0:pPr>
      <ns0:r>
        <ns0:rPr/>
        <ns0:t>П</ns0:t>
      </ns0:r>
      <ns0:r>
        <ns0:rPr>
          <ns0:color ns0:val="000000"/>
        </ns0:rPr>
        <ns0:t>ринять и разгрузить своими силами Весы, предоставить оригинал доверенности на их получение и оформить надлежащим образом УПД.</ns0:t>
      </ns0:r>
      <ns0:r>
        <ns0:rPr/>
        <ns0:t xml:space="preserve"> При этом риск случайного разрушения или случайного повреждения Весов переходит на Заказчика с момента подписания УПД. В случае невозможности подписать сопроводительные документы при приемке Весов, Подрядчик вправе отказаться от передачи комплекта Весов. </ns0:t>
      </ns0:r>
    </ns0:p>
    <ns0:p>
      <ns0:pPr>
        <ns0:pStyle ns0:val="Style21"/>
        <ns0:numPr>
          <ns0:ilvl ns0:val="2"/>
          <ns0:numId ns0:val="3"/>
        </ns0:numPr>
        <ns0:jc ns0:val="both"/>
        <ns0:rPr/>
      </ns0:pPr>
      <ns0:r>
        <ns0:rPr/>
        <ns0:t>Отправить оригинал Договора Подрядчику в течение 2-х недель с момента осуществления предоплаты согласно Спецификации.</ns0:t>
      </ns0:r>
    </ns0:p>
    <ns0:p>
      <ns0:pPr>
        <ns0:pStyle ns0:val="Style21"/>
        <ns0:numPr>
          <ns0:ilvl ns0:val="2"/>
          <ns0:numId ns0:val="3"/>
        </ns0:numPr>
        <ns0:jc ns0:val="both"/>
        <ns0:rPr/>
      </ns0:pPr>
      <ns0:r>
        <ns0:rPr/>
        <ns0:t>Предоставить Подрядчику копии документов, подтверждающих полномочия лица, заключающего Договор, а также копии ОГРН, ИНН, выписку из ЕГРЮЛ и д.р.</ns0:t>
      </ns0:r>
    </ns0:p>
    <ns0:p>
      <ns0:pPr>
        <ns0:pStyle ns0:val="Style21"/>
        <ns0:numPr>
          <ns0:ilvl ns0:val="2"/>
          <ns0:numId ns0:val="3"/>
        </ns0:numPr>
        <ns0:jc ns0:val="both"/>
        <ns0:rPr/>
      </ns0:pPr>
      <ns0:r>
        <ns0:rPr/>
        <ns0:t>Осуществить приемку результата Работ по каждому этапу их исполнения от Подрядчика по Акту выполненных работ (промежуточные акты), который подписывается обеими сторонами. При отказе одной из сторон от подписания акта в нем делается отметка об этом, и акт подписывается другой стороной.</ns0:t>
      </ns0:r>
    </ns0:p>
    <ns0:p>
      <ns0:pPr>
        <ns0:pStyle ns0:val="Style21"/>
        <ns0:numPr>
          <ns0:ilvl ns0:val="2"/>
          <ns0:numId ns0:val="3"/>
        </ns0:numPr>
        <ns0:jc ns0:val="both"/>
        <ns0:rPr/>
      </ns0:pPr>
      <ns0:r>
        <ns0:rPr/>
        <ns0:t>Направить Подрядчику мотивированный отказ от подписания Акта выполненных работ (промежуточного акта). В случае непредставления мотивированного отказа в трехдневный срок с момента представления Подрядчиком Акта выполненных работ (промежуточного акта) Заказчику, работы считаются принятыми и подлежат оплате Заказчиком.</ns0:t>
      </ns0:r>
    </ns0:p>
    <ns0:p>
      <ns0:pPr>
        <ns0:pStyle ns0:val="Style21"/>
        <ns0:numPr>
          <ns0:ilvl ns0:val="2"/>
          <ns0:numId ns0:val="3"/>
        </ns0:numPr>
        <ns0:jc ns0:val="both"/>
        <ns0:rPr/>
      </ns0:pPr>
      <ns0:r>
        <ns0:rPr/>
        <ns0:t xml:space="preserve">Выполнить работы по подготовке кабельной трассы и последующей укладке сигнального кабеля от Весов до помещения весовой (весового индикатора) в случае удаленности помещения весовой от Весов далее 5м. </ns0:t>
      </ns0:r>
    </ns0:p>
    <ns0:p>
      <ns0:pPr>
        <ns0:pStyle ns0:val="Style21"/>
        <ns0:numPr>
          <ns0:ilvl ns0:val="2"/>
          <ns0:numId ns0:val="3"/>
        </ns0:numPr>
        <ns0:jc ns0:val="both"/>
        <ns0:rPr/>
      </ns0:pPr>
      <ns0:r>
        <ns0:rPr/>
        <ns0:t>Выполнить подготовку подъездных путей к Весам, для Весоповерочной лаборатории ЦСМ. Подрядчик производит монтаж Весов только при условии готовности подъездных путей и отсутствия навеса над местом установки Весов.</ns0:t>
      </ns0:r>
    </ns0:p>
    <ns0:p>
      <ns0:pPr>
        <ns0:pStyle ns0:val="Style21"/>
        <ns0:numPr>
          <ns0:ilvl ns0:val="2"/>
          <ns0:numId ns0:val="3"/>
        </ns0:numPr>
        <ns0:jc ns0:val="both"/>
        <ns0:rPr/>
      </ns0:pPr>
      <ns0:r>
        <ns0:rPr/>
        <ns0:t>Эксплуатировать Весы и весовой индикатор в строгом соответствии с инструкцией по эксплуатации. Качество и иные параметры электроэнергии, используемой для работы Весов должны соответствовать обязательным требованиям, установленным нормами законодательства РФ.</ns0:t>
      </ns0:r>
    </ns0:p>
    <ns0:p>
      <ns0:pPr>
        <ns0:pStyle ns0:val="Style21"/>
        <ns0:numPr>
          <ns0:ilvl ns0:val="2"/>
          <ns0:numId ns0:val="3"/>
        </ns0:numPr>
        <ns0:jc ns0:val="both"/>
        <ns0:rPr/>
      </ns0:pPr>
      <ns0:r>
        <ns0:rPr/>
        <ns0:t xml:space="preserve">Выполнить работы по оборудованию помещения весовой согласно эксплуатационным характеристикам весового индикатора, на расстоянии, </ns0:t>
      </ns0:r>
      <ns0:r>
        <ns0:rPr>
          <ns0:bCs/>
        </ns0:rPr>
        <ns0:t xml:space="preserve">не превышающем длины сигнального кабеля </ns0:t>
      </ns0:r>
      <ns0:r>
        <ns0:rPr/>
        <ns0:t xml:space="preserve">Весов, подводке </ns0:t>
      </ns0:r>
      <ns0:r>
        <ns0:rPr>
          <ns0:bCs/>
        </ns0:rPr>
        <ns0:t>напряжения</ns0:t>
      </ns0:r>
      <ns0:r>
        <ns0:rPr/>
        <ns0:t xml:space="preserve"> питания 220В и заземления </ns0:t>
      </ns0:r>
      <ns0:r>
        <ns0:rPr>
          <ns0:bCs/>
        </ns0:rPr>
        <ns0:t xml:space="preserve">в помещение весовой (2 евророзетки). </ns0:t>
      </ns0:r>
      <ns0:r>
        <ns0:rPr/>
        <ns0:t>Выполненные работы должны соответствовать требованиям ПУЭ.</ns0:t>
      </ns0:r>
    </ns0:p>
    <ns0:p>
      <ns0:pPr>
        <ns0:pStyle ns0:val="Style21"/>
        <ns0:numPr>
          <ns0:ilvl ns0:val="2"/>
          <ns0:numId ns0:val="3"/>
        </ns0:numPr>
        <ns0:jc ns0:val="both"/>
        <ns0:rPr/>
      </ns0:pPr>
      <ns0:r>
        <ns0:rPr/>
        <ns0:t>Выполнить заземляющий контур помещения весовой с последующей передачей копии протокола измерения заземления Подрядчику.</ns0:t>
      </ns0:r>
    </ns0:p>
    <ns0:p>
      <ns0:pPr>
        <ns0:pStyle ns0:val="Style21"/>
        <ns0:numPr>
          <ns0:ilvl ns0:val="2"/>
          <ns0:numId ns0:val="3"/>
        </ns0:numPr>
        <ns0:jc ns0:val="both"/>
        <ns0:rPr/>
      </ns0:pPr>
      <ns0:r>
        <ns0:rPr/>
        <ns0:t>Оборудовать рабочее место весовщика отдельной, однофазной розеткой с заземлением через однофазный автомат номиналом 10А. Дополнительное оборудование, подключаемое непосредственно к весовому индикатору, должно быть запитано только от отдельной заземленной розетки.</ns0:t>
      </ns0:r>
    </ns0:p>
    <ns0:p>
      <ns0:pPr>
        <ns0:pStyle ns0:val="Style21"/>
        <ns0:numPr>
          <ns0:ilvl ns0:val="2"/>
          <ns0:numId ns0:val="3"/>
        </ns0:numPr>
        <ns0:jc ns0:val="both"/>
        <ns0:rPr/>
      </ns0:pPr>
      <ns0:r>
        <ns0:rPr/>
        <ns0:t>Предусмотреть в случае необходимости устройство ливневой канализации в месте установки Весов.</ns0:t>
      </ns0:r>
    </ns0:p>
    <ns0:p>
      <ns0:pPr>
        <ns0:pStyle ns0:val="Normal"/>
        <ns0:jc ns0:val="both"/>
        <ns0:rPr>
          <ns0:b/>
        </ns0:rPr>
      </ns0:pPr>
      <ns0:r>
        <ns0:rPr>
          <ns0:b/>
        </ns0:rPr>
      </ns0:r>
    </ns0:p>
    <ns0:p>
      <ns0:pPr>
        <ns0:pStyle ns0:val="Style21"/>
        <ns0:numPr>
          <ns0:ilvl ns0:val="1"/>
          <ns0:numId ns0:val="3"/>
        </ns0:numPr>
        <ns0:jc ns0:val="both"/>
        <ns0:rPr/>
      </ns0:pPr>
      <ns0:r>
        <ns0:rPr>
          <ns0:b/>
        </ns0:rPr>
        <ns0:t>Подрядчик обязуется:</ns0:t>
      </ns0:r>
    </ns0:p>
    <ns0:p>
      <ns0:pPr>
        <ns0:pStyle ns0:val="Style21"/>
        <ns0:numPr>
          <ns0:ilvl ns0:val="2"/>
          <ns0:numId ns0:val="3"/>
        </ns0:numPr>
        <ns0:jc ns0:val="both"/>
        <ns0:rPr/>
      </ns0:pPr>
      <ns0:r>
        <ns0:rPr/>
        <ns0:t>Подготовить Весы к отгрузке, в сроки, предусмотренные Спецификацией.</ns0:t>
      </ns0:r>
    </ns0:p>
    <ns0:p>
      <ns0:pPr>
        <ns0:pStyle ns0:val="Style21"/>
        <ns0:numPr>
          <ns0:ilvl ns0:val="2"/>
          <ns0:numId ns0:val="3"/>
        </ns0:numPr>
        <ns0:jc ns0:val="both"/>
        <ns0:rPr/>
      </ns0:pPr>
      <ns0:r>
        <ns0:rPr/>
        <ns0:t>Осуществить отгрузку Весов после получения по электронной связи уведомления Заказчика о готовности принять Весы, подписанного лицом, ответственным за проведение Работ, если иное не предусмотрено Спецификацией.Подрядчик имеет право досрочно осуществить отгрузку Весов, письменно согласовав это с Заказчиком.</ns0:t>
      </ns0:r>
    </ns0:p>
    <ns0:p>
      <ns0:pPr>
        <ns0:pStyle ns0:val="Style21"/>
        <ns0:numPr>
          <ns0:ilvl ns0:val="2"/>
          <ns0:numId ns0:val="3"/>
        </ns0:numPr>
        <ns0:jc ns0:val="both"/>
        <ns0:rPr/>
      </ns0:pPr>
      <ns0:r>
        <ns0:rPr/>
        <ns0:t>Выполнить Работы, в объеме и в сроки, предусмотренные Спецификацией, и сдать Заказчику в установленный срок Работы и Весы по Акту выполненных работ.</ns0:t>
      </ns0:r>
    </ns0:p>
    <ns0:p>
      <ns0:pPr>
        <ns0:pStyle ns0:val="Style21"/>
        <ns0:numPr>
          <ns0:ilvl ns0:val="2"/>
          <ns0:numId ns0:val="3"/>
        </ns0:numPr>
        <ns0:jc ns0:val="both"/>
        <ns0:rPr/>
      </ns0:pPr>
      <ns0:r>
        <ns0:rPr/>
        <ns0:t>Провести инструктаж технического и обслуживающего персонала правилам эксплуатации Весов.</ns0:t>
      </ns0:r>
    </ns0:p>
    <ns0:p>
      <ns0:pPr>
        <ns0:pStyle ns0:val="Style21"/>
        <ns0:numPr>
          <ns0:ilvl ns0:val="2"/>
          <ns0:numId ns0:val="3"/>
        </ns0:numPr>
        <ns0:jc ns0:val="both"/>
        <ns0:rPr/>
      </ns0:pPr>
      <ns0:r>
        <ns0:rPr/>
        <ns0:t>В случае возникновения обстоятельств, замедляющих ход работ или делающих дальнейшее продолжение работ невозможным, немедленно поставить об этом в известность Заказчика в письменной форме.</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СРОКИ ВЫПОЛНЕНИЯ РАБОТ</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2"/>
        </ns0:numPr>
        <ns0:jc ns0:val="both"/>
        <ns0:rPr/>
      </ns0:pPr>
      <ns0:r>
        <ns0:rPr/>
        <ns0:t>Работы должны быть выполнены в сроки, указанные в соответствующих Спецификациях к Договору.</ns0:t>
      </ns0:r>
    </ns0:p>
    <ns0:p>
      <ns0:pPr>
        <ns0:pStyle ns0:val="Style21"/>
        <ns0:numPr>
          <ns0:ilvl ns0:val="1"/>
          <ns0:numId ns0:val="2"/>
        </ns0:numPr>
        <ns0:jc ns0:val="both"/>
        <ns0:rPr/>
      </ns0:pPr>
      <ns0:r>
        <ns0:rPr/>
        <ns0:t>В случае, если в ходе выполнения Работ возникнут обстоятельства, нарушающие условия п.п.2.1.1. – 2.1.20. Договора, Подрядчик имеет право приостановить выполнение Работ до полной готовности соответствующих условий к проведению Работ, о чем он немедленно письменно уведомляет Заказчика.</ns0:t>
      </ns0:r>
    </ns0:p>
    <ns0:p>
      <ns0:pPr>
        <ns0:pStyle ns0:val="Style21"/>
        <ns0:numPr>
          <ns0:ilvl ns0:val="1"/>
          <ns0:numId ns0:val="2"/>
        </ns0:numPr>
        <ns0:jc ns0:val="both"/>
        <ns0:rPr/>
      </ns0:pPr>
      <ns0:r>
        <ns0:rPr/>
        <ns0:t>Если Стороны по вине Заказчика не согласуют новый срок проведения работ в течение 2 (двух) рабочих дней с момента получения соответствующего уведомления, Подрядчик вправе самостоятельно в одностороннем порядке предусмотреть разумный срок выполнения Работ в соответствие с текущим производственным графиком Подрядчика.</ns0:t>
      </ns0:r>
    </ns0:p>
    <ns0:p>
      <ns0:pPr>
        <ns0:pStyle ns0:val="Style21"/>
        <ns0:numPr>
          <ns0:ilvl ns0:val="1"/>
          <ns0:numId ns0:val="2"/>
        </ns0:numPr>
        <ns0:jc ns0:val="both"/>
        <ns0:rPr/>
      </ns0:pPr>
      <ns0:r>
        <ns0:rPr/>
        <ns0:t>В случае мотивированного отказа Заказчика от подписания Акт выполненных работ, Заказчик передает перечень необходимых доработок и согласовывает с Подрядчиком сроки их выполнения. После устранения замечаний, указанных в перечне, Подрядчик вновь передает Заказчику Акт выполненных работ.</ns0:t>
      </ns0:r>
    </ns0:p>
    <ns0:p>
      <ns0:pPr>
        <ns0:pStyle ns0:val="Normal"/>
        <ns0:jc ns0:val="both"/>
        <ns0:rPr/>
      </ns0:pPr>
      <ns0:r>
        <ns0:rPr/>
      </ns0:r>
    </ns0:p>
    <ns0:p>
      <ns0:pPr>
        <ns0:pStyle ns0:val="Normal"/>
        <ns0:jc ns0:val="both"/>
        <ns0:rPr/>
      </ns0:pPr>
      <ns0:r>
        <ns0:rPr/>
      </ns0:r>
    </ns0:p>
    <ns0:p>
      <ns0:pPr>
        <ns0:pStyle ns0:val="Style21"/>
        <ns0:numPr>
          <ns0:ilvl ns0:val="0"/>
          <ns0:numId ns0:val="2"/>
        </ns0:numPr>
        <ns0:spacing ns0:lineRule="auto" ns0:line="256"/>
        <ns0:ind ns0:hanging="360" ns0:start="360" ns0:end="288"/>
        <ns0:jc ns0:val="center"/>
        <ns0:rPr>
          <ns0:b/>
        </ns0:rPr>
      </ns0:pPr>
      <ns0:r>
        <ns0:rPr>
          <ns0:b/>
          <ns0:bCs/>
        </ns0:rPr>
        <ns0:t xml:space="preserve">СТОИМОСТЬ ДОГОВОРА, ФОРМА ОПЛАТЫ И ПОРЯДОК РАСЧЕТОВ </ns0:t>
      </ns0:r>
    </ns0:p>
    <ns0:p>
      <ns0:pPr>
        <ns0:pStyle ns0:val="Normal"/>
        <ns0:jc ns0:val="both"/>
        <ns0:rPr>
          <ns0:b/>
        </ns0:rPr>
      </ns0:pPr>
      <ns0:r>
        <ns0:rPr>
          <ns0:b/>
        </ns0:rPr>
      </ns0:r>
    </ns0:p>
    <ns0:p>
      <ns0:pPr>
        <ns0:pStyle ns0:val="Style21"/>
        <ns0:numPr>
          <ns0:ilvl ns0:val="1"/>
          <ns0:numId ns0:val="2"/>
        </ns0:numPr>
        <ns0:jc ns0:val="both"/>
        <ns0:rPr/>
      </ns0:pPr>
      <ns0:r>
        <ns0:rPr/>
        <ns0:t>Оплата Весов и Работ, в рамках настоящего Договора, должна производиться по цене, в форме и сроки, установленные настоящим Договором, Спецификациями к нему, Счете на оплату, либо, в случае их отсутствия, в соответствии со сроками, установленными действующим законодательством РФ.</ns0:t>
      </ns0:r>
    </ns0:p>
    <ns0:p>
      <ns0:pPr>
        <ns0:pStyle ns0:val="Style21"/>
        <ns0:numPr>
          <ns0:ilvl ns0:val="1"/>
          <ns0:numId ns0:val="2"/>
        </ns0:numPr>
        <ns0:jc ns0:val="both"/>
        <ns0:rPr/>
      </ns0:pPr>
      <ns0:r>
        <ns0:rPr/>
        <ns0:t>Установленные Сторонами цены, если иное не предусмотрено дополнительно, с НДС 22%, устанавливается Сторонами в рублях.</ns0:t>
      </ns0:r>
    </ns0:p>
    <ns0:p>
      <ns0:pPr>
        <ns0:pStyle ns0:val="Style21"/>
        <ns0:numPr>
          <ns0:ilvl ns0:val="1"/>
          <ns0:numId ns0:val="2"/>
        </ns0:numPr>
        <ns0:jc ns0:val="both"/>
        <ns0:rPr/>
      </ns0:pPr>
      <ns0:r>
        <ns0:rPr/>
        <ns0:t xml:space="preserve">Оплата производится путем перечисления в безналичном порядке платежными поручениями денежных средств в рублях РФ на указанный Подрядчиком расчетный счет. Днем исполнения обязательств Заказчика по оплате считается день зачисления денежных средств на расчетный счет Подрядчика.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ОТВЕТСТВЕННОСТЬ СТОРОН</ns0:t>
      </ns0:r>
    </ns0:p>
    <ns0:p>
      <ns0:pPr>
        <ns0:pStyle ns0:val="Style16"/>
        <ns0:ind ns0:start="360"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 невыполнение или ненадлежащее выполнение обязательств по Договору Стороны несут ответственность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Сторона, предоставившая материалы и оборудование, отвечает за их соответствие государственными стандартам и техническим условиям и несет риск убытков, связанных с их ненадлежащим качеством.</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сроков поставки Весов Подрядчик уплачивает Заказчику пени в размере 0,1% от стоимости не поставленного товара за каждый день просрочки.При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по вине Подрядчика сроков выполненияРабот, Подрядчик уплачивает Заказчику пени в размере 0,1% от суммы Договора согласно Спецификации за каждый день просрочки. 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Заказчиком сроков оплаты Работ по Договору, Заказчик уплачивает Подрядчику пени в размере 0,1% от суммы Договора согласно Спецификации за каждый день просрочки. При этом пени подлежат начислению после предоставления в адрес Заказчика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В случае простоя бригады по вине Заказчика (невыполнение Заказчиком условий настоящего Договора, указанных в п.п.2.1.1 – 2.2.20. и по другим причинам, возникшим по вине Заказчика и препятствующим выполнению Работ бригадой Подрядчика), Заказчик оплачивает расходы, связанные с обеспечением невыполненных им условий договора и штраф в размере 2000 руб. за каждые сутки простоя. </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Взыскание пени и неустоек не освобождает сторону, нарушившую договор, от выполнения своих обязательств в натуре.</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Ответственность Сторон в иных случаях, не предусмотренных настоящим Договором, определяется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На сумму рассроченных платежей, до выполнения Заказчиком своих обязанностей, проценты по правилам коммерческого кредита не начисляются. Положения п.1 ст.317.1 ГК РФ к отношениям Сторон не применяются.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21"/>
        <ns0:numPr>
          <ns0:ilvl ns0:val="0"/>
          <ns0:numId ns0:val="2"/>
        </ns0:numPr>
        <ns0:spacing ns0:lineRule="auto" ns0:line="256"/>
        <ns0:jc ns0:val="center"/>
        <ns0:rPr>
          <ns0:b/>
          <ns0:bCs/>
        </ns0:rPr>
      </ns0:pPr>
      <ns0:r>
        <ns0:rPr>
          <ns0:b/>
          <ns0:bCs/>
        </ns0:rPr>
        <ns0:t>ПРОЧИЕ УСЛОВИЯ</ns0:t>
      </ns0:r>
    </ns0:p>
    <ns0:p>
      <ns0:pPr>
        <ns0:pStyle ns0:val="Normal"/>
        <ns0:jc ns0:val="both"/>
        <ns0:rPr>
          <ns0:b/>
          <ns0:bCs/>
        </ns0:rPr>
      </ns0:pPr>
      <ns0:r>
        <ns0:rPr>
          <ns0:b/>
          <ns0:bCs/>
        </ns0:rPr>
      </ns0:r>
    </ns0:p>
    <ns0:p>
      <ns0:pPr>
        <ns0:pStyle ns0:val="Style21"/>
        <ns0:numPr>
          <ns0:ilvl ns0:val="0"/>
          <ns0:numId ns0:val="4"/>
        </ns0:numPr>
        <ns0:ind ns0:firstLine="360" ns0:start="-360" ns0:end="-31"/>
        <ns0:jc ns0:val="both"/>
        <ns0:rPr/>
      </ns0:pPr>
      <ns0:r>
        <ns0:rPr/>
        <ns0:t>В случаях увеличения объема работ, работы и строительные материалы необходимые для их выполнения оплачиваются дополнительно. Перечень работ и материалов согласовывается Сторонами и указывается в Спецификации.</ns0:t>
      </ns0:r>
    </ns0:p>
    <ns0:p>
      <ns0:pPr>
        <ns0:pStyle ns0:val="Style21"/>
        <ns0:numPr>
          <ns0:ilvl ns0:val="0"/>
          <ns0:numId ns0:val="4"/>
        </ns0:numPr>
        <ns0:ind ns0:firstLine="360" ns0:start="-360" ns0:end="-31"/>
        <ns0:jc ns0:val="both"/>
        <ns0:rPr/>
      </ns0:pPr>
      <ns0:r>
        <ns0:rPr/>
        <ns0:t>Любые изменения и дополнения к настоящему договору действительны при условии, если они совершенны в письменной форме и подписаны уполномоченными на, то представителями Сторон.</ns0:t>
      </ns0:r>
    </ns0:p>
    <ns0:p>
      <ns0:pPr>
        <ns0:pStyle ns0:val="Style21"/>
        <ns0:numPr>
          <ns0:ilvl ns0:val="0"/>
          <ns0:numId ns0:val="4"/>
        </ns0:numPr>
        <ns0:ind ns0:firstLine="360" ns0:start="-360" ns0:end="-31"/>
        <ns0:jc ns0:val="both"/>
        <ns0:rPr/>
      </ns0:pPr>
      <ns0:r>
        <ns0:rPr/>
        <ns0:t>При переписке по выполнению или изменению условий договора ссылка на номер Договора обязательна.</ns0:t>
      </ns0:r>
    </ns0:p>
    <ns0:p>
      <ns0:pPr>
        <ns0:pStyle ns0:val="Style21"/>
        <ns0:numPr>
          <ns0:ilvl ns0:val="0"/>
          <ns0:numId ns0:val="4"/>
        </ns0:numPr>
        <ns0:ind ns0:firstLine="360" ns0:start="-360" ns0:end="-31"/>
        <ns0:jc ns0:val="both"/>
        <ns0:rPr/>
      </ns0:pPr>
      <ns0:r>
        <ns0:rPr/>
        <ns0:t>Обязательства Подрядчика считаются выполненными со дня подписания Акта выполненных работ обеими Сторонами.</ns0:t>
      </ns0:r>
    </ns0:p>
    <ns0:p>
      <ns0:pPr>
        <ns0:pStyle ns0:val="Style21"/>
        <ns0:numPr>
          <ns0:ilvl ns0:val="0"/>
          <ns0:numId ns0:val="4"/>
        </ns0:numPr>
        <ns0:ind ns0:firstLine="360" ns0:start="-360" ns0:end="-31"/>
        <ns0:jc ns0:val="both"/>
        <ns0:rPr/>
      </ns0:pPr>
      <ns0:r>
        <ns0:rPr/>
        <ns0:t xml:space="preserve">Договор составлен в двух экземплярах, имеющих одинаковую силу, по одному экземпляру для каждой из сторон. </ns0:t>
      </ns0:r>
    </ns0:p>
    <ns0:p>
      <ns0:pPr>
        <ns0:pStyle ns0:val="Style21"/>
        <ns0:numPr>
          <ns0:ilvl ns0:val="0"/>
          <ns0:numId ns0:val="4"/>
        </ns0:numPr>
        <ns0:ind ns0:firstLine="360" ns0:start="-360" ns0:end="-31"/>
        <ns0:jc ns0:val="both"/>
        <ns0:rPr/>
      </ns0:pPr>
      <ns0:r>
        <ns0:rPr/>
        <ns0:t>Вся документация, отправленная посредством электронной почты, имеет юридическую силу до получения Сторонами оригиналов документов.</ns0:t>
      </ns0:r>
    </ns0:p>
    <ns0:p>
      <ns0:pPr>
        <ns0:pStyle ns0:val="Style21"/>
        <ns0:numPr>
          <ns0:ilvl ns0:val="0"/>
          <ns0:numId ns0:val="4"/>
        </ns0:numPr>
        <ns0:ind ns0:firstLine="360" ns0:start="-360" ns0:end="-31"/>
        <ns0:jc ns0:val="both"/>
        <ns0:rPr/>
      </ns0:pPr>
      <ns0:r>
        <ns0:rPr/>
        <ns0:t>При метеоусловиях препятствующих проведению Работ, сроки завершения Работ переносятся на количество дней, в течение которых невозможно их проведение.</ns0:t>
      </ns0:r>
    </ns0:p>
    <ns0:p>
      <ns0:pPr>
        <ns0:pStyle ns0:val="Style21"/>
        <ns0:numPr>
          <ns0:ilvl ns0:val="0"/>
          <ns0:numId ns0:val="4"/>
        </ns0:numPr>
        <ns0:ind ns0:firstLine="360" ns0:start="-360" ns0:end="-31"/>
        <ns0:jc ns0:val="both"/>
        <ns0:rPr/>
      </ns0:pPr>
      <ns0:r>
        <ns0:rPr/>
        <ns0:t>Право собственности на Весы переходит от Подрядчика к Заказчику после того, как Заказчиком будет произведена оплата всей суммы Договора, указанной в Спецификациях, а также неустоек, если таковые будут начислены и предъявлены к оплате.</ns0:t>
      </ns0:r>
    </ns0:p>
    <ns0:p>
      <ns0:pPr>
        <ns0:pStyle ns0:val="Style21"/>
        <ns0:numPr>
          <ns0:ilvl ns0:val="0"/>
          <ns0:numId ns0:val="4"/>
        </ns0:numPr>
        <ns0:ind ns0:firstLine="360" ns0:start="-360" ns0:end="-31"/>
        <ns0:jc ns0:val="both"/>
        <ns0:rPr/>
      </ns0:pPr>
      <ns0:r>
        <ns0:rPr/>
        <ns0:t>Подрядчик вправе привлечь к исполнению своих обязательств других лиц, по согласованию с Заказчиком.</ns0:t>
      </ns0:r>
    </ns0:p>
    <ns0:p>
      <ns0:pPr>
        <ns0:pStyle ns0:val="Style21"/>
        <ns0:numPr>
          <ns0:ilvl ns0:val="0"/>
          <ns0:numId ns0:val="4"/>
        </ns0:numPr>
        <ns0:ind ns0:firstLine="360" ns0:start="-360" ns0:end="-31"/>
        <ns0:jc ns0:val="both"/>
        <ns0:rPr/>
      </ns0:pPr>
      <ns0:r>
        <ns0:rPr/>
        <ns0:t>В случае изменения одной из Сторон своего адреса (юридического или фактического), либо банковских реквизитов, она обязана информировать об этом другую Сторону не позднее 10 (десяти) рабочих дней с момента фактического изменения данных.</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Normal"/>
        <ns0:tabs>
          <ns0:tab ns0:val="clear" ns0:pos="708"/>
          <ns0:tab ns0:val="left" ns0:pos="6663" ns0:leader="none"/>
        </ns0:tabs>
        <ns0:ind ns0:firstLine="426" ns0:end="-1"/>
        <ns0:jc ns0:val="center"/>
        <ns0:rPr>
          <ns0:rFonts ns0:ascii="Times New Roman" ns0:hAnsi="Times New Roman" ns0:cs="Times New Roman"/>
          <ns0:b/>
          <ns0:bCs/>
          <ns0:sz ns0:val="24"/>
          <ns0:szCs ns0:val="24"/>
        </ns0:rPr>
      </ns0:pPr>
      <ns0:r>
        <ns0:rPr>
          <ns0:rFonts ns0:cs="Times New Roman"/>
          <ns0:b/>
          <ns0:bCs/>
          <ns0:sz ns0:val="24"/>
          <ns0:szCs ns0:val="24"/>
        </ns0:rPr>
      </ns0:r>
    </ns0:p>
    <ns0:p>
      <ns0:pPr>
        <ns0:pStyle ns0:val="Normal"/>
        <ns0:tabs>
          <ns0:tab ns0:val="clear" ns0:pos="708"/>
          <ns0:tab ns0:val="left" ns0:pos="6663" ns0:leader="none"/>
        </ns0:tabs>
        <ns0:ind ns0:firstLine="426" ns0:end="-1"/>
        <ns0:jc ns0:val="center"/>
        <ns0:rPr>
          <ns0:b/>
          <ns0:bCs/>
        </ns0:rPr>
      </ns0:pPr>
      <ns0:r>
        <ns0:rPr>
          <ns0:b/>
          <ns0:bCs/>
        </ns0:rPr>
        <ns0:t>7. ГАРАНТИЙНЫЕ ОБЯЗАТЕЛЬСТВА</ns0:t>
      </ns0:r>
    </ns0:p>
    <ns0:p>
      <ns0:pPr>
        <ns0:pStyle ns0:val="Normal"/>
        <ns0:tabs>
          <ns0:tab ns0:val="clear" ns0:pos="708"/>
          <ns0:tab ns0:val="left" ns0:pos="6663" ns0:leader="none"/>
        </ns0:tabs>
        <ns0:ind ns0:firstLine="426" ns0:end="-1"/>
        <ns0:jc ns0:val="center"/>
        <ns0:rPr>
          <ns0:b/>
          <ns0:bCs/>
        </ns0:rPr>
      </ns0:pPr>
      <ns0:r>
        <ns0:rPr>
          <ns0:b/>
          <ns0:bCs/>
        </ns0:rPr>
      </ns0:r>
    </ns0:p>
    <ns0:p>
      <ns0:pPr>
        <ns0:pStyle ns0:val="Style21"/>
        <ns0:numPr>
          <ns0:ilvl ns0:val="0"/>
          <ns0:numId ns0:val="5"/>
        </ns0:numPr>
        <ns0:ind ns0:hanging="0" ns0:start="0" ns0:end="0"/>
        <ns0:jc ns0:val="both"/>
        <ns0:rPr/>
      </ns0:pPr>
      <ns0:r>
        <ns0:rPr/>
        <ns0:t>Подрядчик гарантирует соответствие Весов автомобильных требованиям ГОСТ OIML R 76-1-2011, а Заказчик, в свою очередь, соблюдение правил эксплуатации и хранения в соответствии с техническими условиями завода-изготовителя и требованиями, указанными в паспорте на Весы.</ns0:t>
      </ns0:r>
    </ns0:p>
    <ns0:p>
      <ns0:pPr>
        <ns0:pStyle ns0:val="Style21"/>
        <ns0:numPr>
          <ns0:ilvl ns0:val="0"/>
          <ns0:numId ns0:val="5"/>
        </ns0:numPr>
        <ns0:ind ns0:hanging="0" ns0:start="0" ns0:end="0"/>
        <ns0:jc ns0:val="both"/>
        <ns0:rPr/>
      </ns0:pPr>
      <ns0:r>
        <ns0:rPr/>
        <ns0:t>Гарантийные обязательства вступают в силу со дня передачи Весов Заказчику.</ns0:t>
      </ns0:r>
    </ns0:p>
    <ns0:p>
      <ns0:pPr>
        <ns0:pStyle ns0:val="Normal"/>
        <ns0:shd ns0:fill="FFFFFF" ns0:val="clear"/>
        <ns0:jc ns0:val="both"/>
        <ns0:rPr/>
      </ns0:pPr>
      <ns0:r>
        <ns0:rPr/>
        <ns0:t>Гарантийный срок составляет:</ns0:t>
      </ns0:r>
    </ns0:p>
    <ns0:p>
      <ns0:pPr>
        <ns0:pStyle ns0:val="Normal"/>
        <ns0:shd ns0:fill="FFFFFF" ns0:val="clear"/>
        <ns0:jc ns0:val="both"/>
        <ns0:rPr/>
      </ns0:pPr>
      <ns0:r>
        <ns0:rPr/>
        <ns0:t>- на фундамент под Весы – 36 (тридцать шесть) месяцев, с момента подписания Сторонами актов выполненных работ по Договору или введению Весов в эксплуатацию;</ns0:t>
      </ns0:r>
    </ns0:p>
    <ns0:p>
      <ns0:pPr>
        <ns0:pStyle ns0:val="Normal"/>
        <ns0:shd ns0:fill="FFFFFF" ns0:val="clear"/>
        <ns0:jc ns0:val="both"/>
        <ns0:rPr/>
      </ns0:pPr>
      <ns0:r>
        <ns0:rPr/>
        <ns0:t>- на Весы - 24 (двадцать четыре) месяца, с момента подписания ЗаказчикомУПД на Весы;</ns0:t>
      </ns0:r>
    </ns0:p>
    <ns0:p>
      <ns0:pPr>
        <ns0:pStyle ns0:val="Normal"/>
        <ns0:shd ns0:fill="FFFFFF" ns0:val="clear"/>
        <ns0:jc ns0:val="both"/>
        <ns0:rPr/>
      </ns0:pPr>
      <ns0:r>
        <ns0:rPr/>
        <ns0:t>- на отдельные комплектующие к Весам и комплексу автоматизации (весовые индикаторы, соединительные коробки, тензодатчики и т.п.) - 12 (двенадцать) месяцев с момента подписания ЗаказчикомУПД на Весы, но не более гарантийного срока, установленного производителем конкретного оборудования.</ns0:t>
      </ns0:r>
    </ns0:p>
    <ns0:p>
      <ns0:pPr>
        <ns0:pStyle ns0:val="Normal"/>
        <ns0:shd ns0:fill="FFFFFF" ns0:val="clear"/>
        <ns0:jc ns0:val="both"/>
        <ns0:rPr/>
      </ns0:pPr>
      <ns0:r>
        <ns0:rPr/>
        <ns0:t>Заказчик обязуется соблюдать правила эксплуатации Весов и выполнять регламентные работы, в том числе:</ns0:t>
      </ns0:r>
    </ns0:p>
    <ns0:p>
      <ns0:pPr>
        <ns0:pStyle ns0:val="Normal"/>
        <ns0:shd ns0:fill="FFFFFF" ns0:val="clear"/>
        <ns0:jc ns0:val="both"/>
        <ns0:rPr/>
      </ns0:pPr>
      <ns0:r>
        <ns0:rPr/>
        <ns0:t>-  проводить периодическую чистку ГПУ, заездных пандусов, конструктивных зазоров по периметру ГПУ от грязи и мусора. Не допускать нахождения посторонних предметов под ГПУ,</ns0:t>
      </ns0:r>
    </ns0:p>
    <ns0:p>
      <ns0:pPr>
        <ns0:pStyle ns0:val="Normal"/>
        <ns0:shd ns0:fill="FFFFFF" ns0:val="clear"/>
        <ns0:jc ns0:val="both"/>
        <ns0:rPr/>
      </ns0:pPr>
      <ns0:r>
        <ns0:rPr/>
        <ns0:t>- очищать и проверять зазоры в отбойных элементах не реже одного раза в неделю,</ns0:t>
      </ns0:r>
    </ns0:p>
    <ns0:p>
      <ns0:pPr>
        <ns0:pStyle ns0:val="Normal"/>
        <ns0:shd ns0:fill="FFFFFF" ns0:val="clear"/>
        <ns0:jc ns0:val="both"/>
        <ns0:rPr/>
      </ns0:pPr>
      <ns0:r>
        <ns0:rPr/>
        <ns0:t>- осуществлять визуальный осмотр Весов (при этом необходимо убедиться в исправности сетевых вилок и соединительных кабелей), удаление пыли и грязи с наружных частей прибора,</ns0:t>
      </ns0:r>
    </ns0:p>
    <ns0:p>
      <ns0:pPr>
        <ns0:pStyle ns0:val="Normal"/>
        <ns0:shd ns0:fill="FFFFFF" ns0:val="clear"/>
        <ns0:jc ns0:val="both"/>
        <ns0:rPr/>
      </ns0:pPr>
      <ns0:r>
        <ns0:rPr/>
        <ns0:t>- при проведении профилактического обслуживания осмотреть и тщательно очистить от загрязнения конструктивные зазоры по периметру платформы, осмотреть, тщательно очистить и отрегулировать зазоры по винтовым упорам (отбойникам) грузоприемной платформы. Величина зазора должна находиться в пределах от 1,5 до 2 мм, осмотреть на предмет целостности и отсутствия повреждений кабели питания и связи тензодатчиков и прибора, осмотреть и очистить от загрязнения под платформенное пространство, проверить наличие и сохранность заземления, провести замеры,</ns0:t>
      </ns0:r>
    </ns0:p>
    <ns0:p>
      <ns0:pPr>
        <ns0:pStyle ns0:val="Normal"/>
        <ns0:shd ns0:fill="FFFFFF" ns0:val="clear"/>
        <ns0:jc ns0:val="both"/>
        <ns0:rPr/>
      </ns0:pPr>
      <ns0:r>
        <ns0:rPr/>
        <ns0:t>- не реже одного раза в год проверять, нет ли промоин под фундаментом Весов, наличие в нем трещин, заметных на глаз наклонов фундамента и деформаций платформы,</ns0:t>
      </ns0:r>
    </ns0:p>
    <ns0:p>
      <ns0:pPr>
        <ns0:pStyle ns0:val="Normal"/>
        <ns0:shd ns0:fill="FFFFFF" ns0:val="clear"/>
        <ns0:jc ns0:val="both"/>
        <ns0:rPr/>
      </ns0:pPr>
      <ns0:r>
        <ns0:rPr/>
        <ns0:t> - результаты периодических проверок состояния весов заносить в журнал проверок с</ns0:t>
      </ns0:r>
    </ns0:p>
    <ns0:p>
      <ns0:pPr>
        <ns0:pStyle ns0:val="Normal"/>
        <ns0:shd ns0:fill="FFFFFF" ns0:val="clear"/>
        <ns0:jc ns0:val="both"/>
        <ns0:rPr/>
      </ns0:pPr>
      <ns0:r>
        <ns0:rPr/>
        <ns0:t>указанием даты проверки и ее результатов.</ns0:t>
      </ns0:r>
    </ns0:p>
    <ns0:p>
      <ns0:pPr>
        <ns0:pStyle ns0:val="Normal"/>
        <ns0:shd ns0:fill="FFFFFF" ns0:val="clear"/>
        <ns0:jc ns0:val="both"/>
        <ns0:rPr>
          <ns0:bCs/>
        </ns0:rPr>
      </ns0:pPr>
      <ns0:r>
        <ns0:rPr/>
        <ns0:t>Заказчик уведомлен и подписанием настоящего Договора подтверждает, что гарантийное обслуживание (ремонт, диагностика и пр.) осуществляется только Подрядчиком, или уполномоченным на это предприятием-представителем Подрядчика. В случае осуществления ремонта Весов у другого лица и/или Заказчиком самостоятельно, гарантия Подрядчика прекращается.</ns0:t>
        <ns0:br/>
      </ns0:r>
      <ns0:r>
        <ns0:rPr>
          <ns0:bCs/>
        </ns0:rPr>
        <ns0:t>Участие в периодических поверках, а также участие в точной настройке Весов и проверке с помощью эталонов по истечении 12 (двенадцати) месяцев с моментапервичной поверки Весов не входит в гарантийные обязательства на Весы.</ns0:t>
      </ns0:r>
    </ns0:p>
    <ns0:p>
      <ns0:pPr>
        <ns0:pStyle ns0:val="Style21"/>
        <ns0:numPr>
          <ns0:ilvl ns0:val="0"/>
          <ns0:numId ns0:val="5"/>
        </ns0:numPr>
        <ns0:shd ns0:fill="FFFFFF" ns0:val="clear"/>
        <ns0:ind ns0:hanging="0" ns0:start="0" ns0:end="0"/>
        <ns0:jc ns0:val="both"/>
        <ns0:rPr>
          <ns0:bCs/>
        </ns0:rPr>
      </ns0:pPr>
      <ns0:r>
        <ns0:rPr/>
        <ns0:t>В период действия гарантийного срока Подрядчик обязуется заменить или наладить комплектующие ненадлежащего качества в течение 5-ти дней, с момента получения письменного (факсимильного) сообщения от Заказчика о выявленных недостатках и (или) дефектах, или в разумный срок, необходимый для поставки или изготовления необходимых комплектующих.</ns0:t>
      </ns0:r>
    </ns0:p>
    <ns0:p>
      <ns0:pPr>
        <ns0:pStyle ns0:val="Style21"/>
        <ns0:numPr>
          <ns0:ilvl ns0:val="0"/>
          <ns0:numId ns0:val="5"/>
        </ns0:numPr>
        <ns0:shd ns0:fill="FFFFFF" ns0:val="clear"/>
        <ns0:ind ns0:hanging="0" ns0:start="0" ns0:end="0"/>
        <ns0:jc ns0:val="both"/>
        <ns0:rPr>
          <ns0:bCs/>
        </ns0:rPr>
      </ns0:pPr>
      <ns0:r>
        <ns0:rPr/>
        <ns0:t>В случае выхода Весов из строя в период гарантийного срока по вине Заказчика выезд и работа специалиста от Подрядчика, а также комплектующих, оплачиваются Заказчиком согласно счетам на оплату, выставленным Подрядчиком.</ns0:t>
      </ns0:r>
    </ns0:p>
    <ns0:p>
      <ns0:pPr>
        <ns0:pStyle ns0:val="Style21"/>
        <ns0:numPr>
          <ns0:ilvl ns0:val="0"/>
          <ns0:numId ns0:val="5"/>
        </ns0:numPr>
        <ns0:shd ns0:fill="FFFFFF" ns0:val="clear"/>
        <ns0:ind ns0:hanging="0" ns0:start="0" ns0:end="0"/>
        <ns0:jc ns0:val="both"/>
        <ns0:rPr>
          <ns0:bCs/>
        </ns0:rPr>
      </ns0:pPr>
      <ns0:r>
        <ns0:rPr/>
        <ns0:t xml:space="preserve">Выезд технических специалистов для ремонта и диагностики неисправности Весов оплачивается Заказчиком по отдельному счету и осуществляется в течение 5-ти рабочих дней с момента получения оплаты. </ns0:t>
      </ns0:r>
    </ns0:p>
    <ns0:p>
      <ns0:pPr>
        <ns0:pStyle ns0:val="Style21"/>
        <ns0:shd ns0:fill="FFFFFF" ns0:val="clear"/>
        <ns0:ind ns0:start="0" ns0:end="0"/>
        <ns0:jc ns0:val="both"/>
        <ns0:rPr>
          <ns0:bCs/>
        </ns0:rPr>
      </ns0:pPr>
      <ns0:r>
        <ns0:rPr/>
        <ns0:t xml:space="preserve">           При признании неисправности гарантийным случаем (в период действия гарантийного срока) денежная сумма, полученная от Заказчика в счет оплаты выезда специалиста, подлежит возврату Заказчику в течение 5-ти рабочих дней; вышедшее из строя оборудование или запасные части подлежат замене или ремонту бесплатно.</ns0:t>
      </ns0:r>
    </ns0:p>
    <ns0:p>
      <ns0:pPr>
        <ns0:pStyle ns0:val="Style21"/>
        <ns0:numPr>
          <ns0:ilvl ns0:val="0"/>
          <ns0:numId ns0:val="5"/>
        </ns0:numPr>
        <ns0:shd ns0:fill="FFFFFF" ns0:val="clear"/>
        <ns0:ind ns0:hanging="0" ns0:start="0" ns0:end="0"/>
        <ns0:jc ns0:val="both"/>
        <ns0:rPr>
          <ns0:bCs/>
        </ns0:rPr>
      </ns0:pPr>
      <ns0:r>
        <ns0:rPr>
          <ns0:color ns0:val="000000"/>
        </ns0:rPr>
        <ns0:t>Претензии по комплектности Весов, поставляемых в комплекте с автоматизированной системой управления, могут быть заявлены Заказчиком Подрядчику в течение двух рабочих дней с момента приемки Весов Заказчиком. Последующие претензии по качеству товара (за исключением поставленного программного обеспечения) должны быть заявлены Заказчиком непосредственно в сервисные центры соответствующих фирм производителей комплектующих, поставляемых материалов, товаров.</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288"/>
        <ns0:jc ns0:val="center"/>
        <ns0:rPr/>
      </ns0:pPr>
      <ns0:r>
        <ns0:rPr>
          <ns0:rFonts ns0:cs="Times New Roman" ns0:ascii="Times New Roman" ns0:hAnsi="Times New Roman"/>
          <ns0:b/>
          <ns0:sz ns0:val="24"/>
          <ns0:szCs ns0:val="24"/>
        </ns0:rPr>
        <ns0:t>8. НЕПРЕОДОЛИМАЯ СИЛА (ФОРСМАЖОРНЫЕ ОБСТОЯТЕЛЬСТВА)</ns0:t>
      </ns0:r>
    </ns0:p>
    <ns0:p>
      <ns0:pPr>
        <ns0:pStyle ns0:val="Style16"/>
        <ns0:ind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21"/>
        <ns0:numPr>
          <ns0:ilvl ns0:val="0"/>
          <ns0:numId ns0:val="6"/>
        </ns0:numPr>
        <ns0:ind ns0:hanging="0" ns0:start="0" ns0:end="0"/>
        <ns0:jc ns0:val="both"/>
        <ns0:rPr/>
      </ns0:pPr>
      <ns0:r>
        <ns0:rPr/>
        <ns0:t>В случае наступления обстоятельств непреодолимой силы, вызванных прямо или косвенно проявлением, например, наводнения,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не зависящих от воли Сторон, сроки выполнения этих обязательств соразмерно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ns0:t>
      </ns0:r>
    </ns0:p>
    <ns0:p>
      <ns0:pPr>
        <ns0:pStyle ns0:val="Style21"/>
        <ns0:numPr>
          <ns0:ilvl ns0:val="0"/>
          <ns0:numId ns0:val="6"/>
        </ns0:numPr>
        <ns0:ind ns0:hanging="0" ns0:start="0" ns0:end="0"/>
        <ns0:jc ns0:val="both"/>
        <ns0:rPr/>
      </ns0:pPr>
      <ns0:r>
        <ns0:rPr/>
        <ns0:t>Любая из Сторон обязана в течение 5-ти дней с момента, когда ей стало (или должно было стать) известно о наступлении и (или) окончании чрезвычайных и непредотвратимых при данных условиях обстоятельств, препятствующих выполнению обязательств по настоящему Договору, известить письменно другую Сторону.</ns0:t>
      </ns0:r>
    </ns0:p>
    <ns0:p>
      <ns0:pPr>
        <ns0:pStyle ns0:val="Style21"/>
        <ns0:numPr>
          <ns0:ilvl ns0:val="0"/>
          <ns0:numId ns0:val="6"/>
        </ns0:numPr>
        <ns0:ind ns0:hanging="0" ns0:start="0" ns0:end="0"/>
        <ns0:jc ns0:val="both"/>
        <ns0:rPr/>
      </ns0:pPr>
      <ns0:r>
        <ns0:rPr/>
        <ns0:t>Если любое из таких обстоятельств непосредственно повлияло на неисполнение обязательства в срок, указанный в Договоре, то этот срок отодвигается соразмерно на время действия соответствующего обстоятельства.</ns0:t>
      </ns0:r>
    </ns0:p>
    <ns0:p>
      <ns0:pPr>
        <ns0:pStyle ns0:val="Style21"/>
        <ns0:numPr>
          <ns0:ilvl ns0:val="0"/>
          <ns0:numId ns0:val="6"/>
        </ns0:numPr>
        <ns0:ind ns0:hanging="0" ns0:start="0" ns0:end="0"/>
        <ns0:jc ns0:val="both"/>
        <ns0:rPr/>
      </ns0:pPr>
      <ns0:r>
        <ns0:rPr/>
        <ns0:t>Сторона, ссылающаяся на форс-мажорные обстоятельства, обязана предоставить для подтверждения документ компетентного государственного органа.</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9. СРОК ДЕЙСТВИЯ ДОГОВОРА</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9.1. Договор вступает в силу с момента подписания и действует до полного исполнения сторонами своих обязательств по договору и спецификациям по нему, в случае произведения Заказчиком предоплаты по Спецификациям к Договору не позже срока, указанного в п. 2.1 конкретной Спецификации к Договору.</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9.2. В случае если Заказчик не произвел предоплату в срок, установленный п. 9.1. настоящий Договор прекращает действие с момента истечения указанного срока.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9.3. Настоящий договор, может быть, расторгнут досрочно:</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9.3.1. По письменному соглашению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9.3.2. В одностороннем порядке при отказе одной из сторон от настоящего договора в случаях, когда возможность такого отказа предусмотрена законом или настоящим договором.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9.3.3. В иных случаях, предусмотренных законом или соглашением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10. РАЗРЕШЕНИЕ СПОРОВ</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10.1. Все споры и разногласия, которые могут возникнуть между сторонами, будут разрешаться путем переговоров.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10.2. При не урегулировании в процессе переговоров спорных вопросов споры разрешаются в порядке, установленном действующим законодательством Российской Федерации с обязательным соблюдением претензионного порядка, со сроком ответа на претензию 10 (десять) календарных дней с момента получения ее Стороной.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10.3. В случае невозможности решить спор путем переговоров, он передается на рассмотрение в Арбитражный суд по месту нахождения Истца.</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r>
        <ns0:br ns0:type="page"/>
      </ns0:r>
    </ns0:p>
    <ns0:p>
      <ns0:pPr>
        <ns0:pStyle ns0:val="Normal"/>
        <ns0:rPr>
          <ns0:rFonts ns0:ascii="Times New Roman" ns0:hAnsi="Times New Roman" ns0:cs="Times New Roman"/>
          <ns0:b/>
          <ns0:sz ns0:val="24"/>
          <ns0:szCs ns0:val="24"/>
        </ns0:rPr>
      </ns0:pPr>
      <ns0:r>
        <ns0:rPr>
          <ns0:rFonts ns0:cs="Times New Roman"/>
          <ns0:b/>
          <ns0:sz ns0:val="24"/>
          <ns0:szCs ns0:val="24"/>
        </ns0:rPr>
      </ns0:r>
    </ns0:p>
    <ns0:p>
      <ns0:pPr>
        <ns0:pStyle ns0:val="Normal"/>
        <ns0:widowControl ns0:val="false"/>
        <ns0:ind ns0:end="-31"/>
        <ns0:jc ns0:val="center"/>
        <ns0:rPr>
          <ns0:b/>
        </ns0:rPr>
      </ns0:pPr>
      <ns0:r>
        <ns0:rPr>
          <ns0:b/>
        </ns0:rPr>
        <ns0:t>11. РЕКВИЗИТЫ И ПОДПИСИ СТОРОН</ns0:t>
      </ns0:r>
    </ns0:p>
    <ns0:p>
      <ns0:pPr>
        <ns0:pStyle ns0:val="Normal"/>
        <ns0:widowControl ns0:val="false"/>
        <ns0:ind ns0:end="-31"/>
        <ns0:jc ns0:val="center"/>
        <ns0:rPr>
          <ns0:b/>
        </ns0:rPr>
      </ns0:pPr>
      <ns0:r>
        <ns0:rPr>
          <ns0:b/>
        </ns0:rPr>
      </ns0:r>
    </ns0:p>
    <ns0:tbl>
      <ns0:tblPr>
        <ns0:tblW ns0:w="9193" ns0:type="dxa"/>
        <ns0:jc ns0:val="center"/>
        <ns0:tblInd ns0:w="0" ns0:type="dxa"/>
        <ns0:tblLayout ns0:type="fixed"/>
        <ns0:tblCellMar>
          <ns0:top ns0:w="0" ns0:type="dxa"/>
          <ns0:start ns0:w="108" ns0:type="dxa"/>
          <ns0:bottom ns0:w="0" ns0:type="dxa"/>
          <ns0:end ns0:w="108" ns0:type="dxa"/>
        </ns0:tblCellMar>
      </ns0:tblPr>
      <ns0:tblGrid>
        <ns0:gridCol ns0:w="1441"/>
        <ns0:gridCol ns0:w="7752"/>
      </ns0:tblGrid>
      <ns0:tr>
        <ns0:trPr>
          <ns0:trHeight ns0:val="2651" ns0:hRule="atLeast"/>
        </ns0:trPr>
        <ns0:tc>
          <ns0:tcPr>
            <ns0:tcW ns0:w="1441" ns0:type="dxa"/>
            <ns0:tcBorders/>
          </ns0:tcPr>
          <ns0:p>
            <ns0:pPr>
              <ns0:pStyle ns0:val="Normal"/>
              <ns0:widowControl ns0:val="false"/>
              <ns0:ind ns0:end="-31"/>
              <ns0:jc ns0:val="both"/>
              <ns0:rPr>
                <ns0:highlight ns0:val="yellow"/>
                <ns0:u ns0:val="single"/>
              </ns0:rPr>
            </ns0:pPr>
            <ns0:r>
              <ns0:rPr>
                <ns0:u ns0:val="single"/>
              </ns0:rPr>
              <ns0:t>Подрядчик:</ns0:t>
            </ns0:r>
          </ns0:p>
        </ns0:tc>
        <ns0:tc>
          <ns0:tcPr>
            <ns0:tcW ns0:w="7752" ns0:type="dxa"/>
            <ns0:tcBorders/>
          </ns0:tcPr>
          <ns0:p>
            <ns0:pPr>
              <ns0:pStyle ns0:val="Normal"/>
              <ns0:rPr>
                <ns0:b/>
                <ns0:bCs/>
              </ns0:rPr>
            </ns0:pPr>
            <ns0:r>
              <ns0:rPr>
                <ns0:b/>
                <ns0:bCs/>
              </ns0:rPr>
              <ns0:t>ООО «ТПК «</ns0:t>
            </ns0:r>
            <ns0:r>
              <ns0:rPr>
                <ns0:b/>
              </ns0:rPr>
              <ns0:t>Тензосила</ns0:t>
            </ns0:r>
            <ns0:r>
              <ns0:rPr>
                <ns0:b/>
                <ns0:bCs/>
              </ns0:rPr>
              <ns0:t>»</ns0:t>
            </ns0:r>
          </ns0:p>
          <ns0:p>
            <ns0:pPr>
              <ns0:pStyle ns0:val="Normal"/>
              <ns0:rPr/>
            </ns0:pPr>
            <ns0:r>
              <ns0:rPr/>
              <ns0:t xml:space="preserve">Адрес: 394005 Россия, г. Воронеж,              </ns0:t>
            </ns0:r>
          </ns0:p>
          <ns0:p>
            <ns0:pPr>
              <ns0:pStyle ns0:val="Normal"/>
              <ns0:rPr/>
            </ns0:pPr>
            <ns0:r>
              <ns0:rPr/>
              <ns0:t>ул. Вл. Невского, 25/1, офис 5.</ns0:t>
            </ns0:r>
          </ns0:p>
          <ns0:p>
            <ns0:pPr>
              <ns0:pStyle ns0:val="Normal"/>
              <ns0:rPr/>
            </ns0:pPr>
            <ns0:r>
              <ns0:rPr/>
              <ns0:t>ИНН 3662257349, КПП 366201001</ns0:t>
            </ns0:r>
          </ns0:p>
          <ns0:p>
            <ns0:pPr>
              <ns0:pStyle ns0:val="Normal"/>
              <ns0:rPr/>
            </ns0:pPr>
            <ns0:r>
              <ns0:rPr/>
              <ns0:t>Р/с 40702810513000031419</ns0:t>
            </ns0:r>
          </ns0:p>
          <ns0:p>
            <ns0:pPr>
              <ns0:pStyle ns0:val="Normal"/>
              <ns0:rPr/>
            </ns0:pPr>
            <ns0:r>
              <ns0:rPr/>
              <ns0:t>ЦЕНТРАЛЬНО-ЧЕРНОЗЕМНЫЙ БАНК ПАО СБЕРБАНК г. Воронеж</ns0:t>
            </ns0:r>
          </ns0:p>
          <ns0:p>
            <ns0:pPr>
              <ns0:pStyle ns0:val="Normal"/>
              <ns0:rPr/>
            </ns0:pPr>
            <ns0:r>
              <ns0:rPr/>
              <ns0:t>БИК 042007681</ns0:t>
            </ns0:r>
          </ns0:p>
          <ns0:p>
            <ns0:pPr>
              <ns0:pStyle ns0:val="Normal"/>
              <ns0:rPr/>
            </ns0:pPr>
            <ns0:r>
              <ns0:rPr/>
              <ns0:t>К/с 30101810600000000681</ns0:t>
            </ns0:r>
          </ns0:p>
          <ns0:p>
            <ns0:pPr>
              <ns0:pStyle ns0:val="Normal"/>
              <ns0:widowControl ns0:val="false"/>
              <ns0:rPr>
                <ns0:b/>
              </ns0:rPr>
            </ns0:pPr>
            <ns0:r>
              <ns0:rPr>
                <ns0:b/>
              </ns0:rPr>
              <ns0:t xml:space="preserve">Тел.: </ns0:t>
            </ns0:r>
            <ns0:r>
              <ns0:rPr>
                <ns0:bCs/>
              </ns0:rPr>
              <ns0:t>8-800-333-4599</ns0:t>
            </ns0:r>
          </ns0:p>
          <ns0:p>
            <ns0:pPr>
              <ns0:pStyle ns0:val="33"/>
              <ns0:widowControl ns0:val="false"/>
              <ns0:spacing ns0:before="0" ns0:after="120"/>
              <ns0:ind ns0:firstLine="6" ns0:end="0"/>
              <ns0:rPr>
                <ns0:sz ns0:val="24"/>
                <ns0:szCs ns0:val="24"/>
                <ns0:highlight ns0:val="yellow"/>
                <ns0:lang ns0:val="ru-RU" ns0:eastAsia="ru-RU"/>
              </ns0:rPr>
            </ns0:pPr>
            <ns0:r>
              <ns0:rPr>
                <ns0:b/>
                <ns0:sz ns0:val="24"/>
                <ns0:szCs ns0:val="24"/>
                <ns0:lang ns0:val="ru-RU" ns0:eastAsia="ru-RU"/>
              </ns0:rPr>
              <ns0:t>Е-</ns0:t>
            </ns0:r>
            <ns0:r>
              <ns0:rPr>
                <ns0:b/>
                <ns0:sz ns0:val="24"/>
                <ns0:szCs ns0:val="24"/>
                <ns0:lang ns0:val="en-US" ns0:eastAsia="ru-RU"/>
              </ns0:rPr>
              <ns0:t>mail</ns0:t>
            </ns0:r>
            <ns0:r>
              <ns0:rPr>
                <ns0:b/>
                <ns0:sz ns0:val="24"/>
                <ns0:szCs ns0:val="24"/>
                <ns0:lang ns0:val="ru-RU" ns0:eastAsia="ru-RU"/>
              </ns0:rPr>
              <ns0:t>:</ns0:t>
            </ns0:r>
            <ns0:r>
              <ns0:rPr>
                <ns0:b/>
                <ns0:bCs/>
                <ns0:sz ns0:val="24"/>
                <ns0:szCs ns0:val="24"/>
                <ns0:lang ns0:val="ru-RU" ns0:eastAsia="ru-RU"/>
              </ns0:rPr>
              <ns0:t xml:space="preserve"> </ns0:t>
            </ns0:r>
            <ns0:hyperlink ns2:id="rId2">
              <ns0:r>
                <ns0:rPr>
                  <ns0:rStyle ns0:val="Hyperlink"/>
                  <ns0:b/>
                  <ns0:bCs/>
                  <ns0:sz ns0:val="24"/>
                  <ns0:szCs ns0:val="24"/>
                  <ns0:lang ns0:val="en-US" ns0:eastAsia="ru-RU"/>
                </ns0:rPr>
                <ns0:t>mail</ns0:t>
              </ns0:r>
              <ns0:r>
                <ns0:rPr>
                  <ns0:rStyle ns0:val="Hyperlink"/>
                  <ns0:b/>
                  <ns0:bCs/>
                  <ns0:sz ns0:val="24"/>
                  <ns0:szCs ns0:val="24"/>
                  <ns0:lang ns0:val="ru-RU" ns0:eastAsia="ru-RU"/>
                </ns0:rPr>
                <ns0:t>@</ns0:t>
              </ns0:r>
              <ns0:r>
                <ns0:rPr>
                  <ns0:rStyle ns0:val="Hyperlink"/>
                  <ns0:b/>
                  <ns0:bCs/>
                  <ns0:sz ns0:val="24"/>
                  <ns0:szCs ns0:val="24"/>
                  <ns0:lang ns0:val="en-US" ns0:eastAsia="ru-RU"/>
                </ns0:rPr>
                <ns0:t>tenzosila</ns0:t>
              </ns0:r>
              <ns0:r>
                <ns0:rPr>
                  <ns0:rStyle ns0:val="Hyperlink"/>
                  <ns0:b/>
                  <ns0:bCs/>
                  <ns0:sz ns0:val="24"/>
                  <ns0:szCs ns0:val="24"/>
                  <ns0:lang ns0:val="ru-RU" ns0:eastAsia="ru-RU"/>
                </ns0:rPr>
                <ns0:t>.</ns0:t>
              </ns0:r>
              <ns0:r>
                <ns0:rPr>
                  <ns0:rStyle ns0:val="Hyperlink"/>
                  <ns0:b/>
                  <ns0:bCs/>
                  <ns0:sz ns0:val="24"/>
                  <ns0:szCs ns0:val="24"/>
                  <ns0:lang ns0:val="en-US" ns0:eastAsia="ru-RU"/>
                </ns0:rPr>
                <ns0:t>ru</ns0:t>
              </ns0:r>
            </ns0:hyperlink>
          </ns0:p>
        </ns0:tc>
      </ns0:tr>
      <ns0:tr>
        <ns0:trPr>
          <ns0:trHeight ns0:val="248" ns0:hRule="atLeast"/>
        </ns0:trPr>
        <ns0:tc>
          <ns0:tcPr>
            <ns0:tcW ns0:w="1441" ns0:type="dxa"/>
            <ns0:tcBorders/>
          </ns0:tcPr>
          <ns0:p>
            <ns0:pPr>
              <ns0:pStyle ns0:val="Normal"/>
              <ns0:widowControl ns0:val="false"/>
              <ns0:snapToGrid ns0:val="false"/>
              <ns0:ind ns0:end="-31"/>
              <ns0:jc ns0:val="both"/>
              <ns0:rPr>
                <ns0:sz ns0:val="24"/>
                <ns0:szCs ns0:val="24"/>
                <ns0:highlight ns0:val="yellow"/>
                <ns0:u ns0:val="single"/>
                <ns0:lang ns0:val="ru-RU" ns0:eastAsia="ru-RU"/>
              </ns0:rPr>
            </ns0:pPr>
            <ns0:r>
              <ns0:rPr>
                <ns0:sz ns0:val="24"/>
                <ns0:szCs ns0:val="24"/>
                <ns0:highlight ns0:val="yellow"/>
                <ns0:u ns0:val="single"/>
                <ns0:lang ns0:val="ru-RU" ns0:eastAsia="ru-RU"/>
              </ns0:rPr>
            </ns0:r>
          </ns0:p>
        </ns0:tc>
        <ns0:tc>
          <ns0:tcPr>
            <ns0:tcW ns0:w="7752" ns0:type="dxa"/>
            <ns0:tcBorders/>
          </ns0:tcPr>
          <ns0:p>
            <ns0:pPr>
              <ns0:pStyle ns0:val="Normal"/>
              <ns0:snapToGrid ns0:val="false"/>
              <ns0:ind ns0:end="-31"/>
              <ns0:jc ns0:val="both"/>
              <ns0:rPr>
                <ns0:b/>
                <ns0:bCs/>
                <ns0:highlight ns0:val="yellow"/>
                <ns0:u ns0:val="single"/>
              </ns0:rPr>
            </ns0:pPr>
            <ns0:r>
              <ns0:rPr>
                <ns0:b/>
                <ns0:bCs/>
                <ns0:highlight ns0:val="yellow"/>
                <ns0:u ns0:val="single"/>
              </ns0:rPr>
            </ns0:r>
          </ns0:p>
        </ns0:tc>
      </ns0:tr>
      <ns0:tr>
        <ns0:trPr>
          <ns0:trHeight ns0:val="3488" ns0:hRule="atLeast"/>
        </ns0:trPr>
        <ns0:tc>
          <ns0:tcPr>
            <ns0:tcW ns0:w="1441" ns0:type="dxa"/>
            <ns0:tcBorders/>
          </ns0:tcPr>
          <ns0:p>
            <ns0:pPr>
              <ns0:pStyle ns0:val="Normal"/>
              <ns0:widowControl ns0:val="false"/>
              <ns0:ind ns0:end="-31"/>
              <ns0:jc ns0:val="both"/>
              <ns0:rPr>
                <ns0:u ns0:val="single"/>
              </ns0:rPr>
            </ns0:pPr>
            <ns0:r>
              <ns0:rPr>
                <ns0:u ns0:val="single"/>
              </ns0:rPr>
              <ns0:t>Заказчик:</ns0:t>
            </ns0:r>
          </ns0:p>
        </ns0:tc>
        <ns0:tc>
          <ns0:tcPr>
            <ns0:tcW ns0:w="7752" ns0:type="dxa"/>
            <ns0:tcBorders/>
          </ns0:tcPr>
          <ns0:p>
            <ns0:pPr>
              <ns0:pStyle ns0:val="Normal"/>
              <ns0:rPr>
                <ns0:b/>
                <ns0:bCs/>
              </ns0:rPr>
            </ns0:pPr>
            <ns0:r>
              <ns0:rPr>
                <ns0:b/>
                <ns0:bCs/>
              </ns0:rPr>
              <ns0:t>ООО «Ромашка»</ns0:t>
            </ns0:r>
          </ns0:p>
          <ns0:p>
            <ns0:pPr>
              <ns0:pStyle ns0:val="Normal"/>
              <ns0:rPr/>
            </ns0:pPr>
            <ns0:r>
              <ns0:rPr/>
              <ns0:t>Юридический адрес: 117420, г. Москва, ул. Намёткина, д. 16</ns0:t>
            </ns0:r>
          </ns0:p>
          <ns0:p>
            <ns0:pPr>
              <ns0:pStyle ns0:val="Normal"/>
              <ns0:rPr/>
            </ns0:pPr>
            <ns0:r>
              <ns0:rPr/>
              <ns0:t>Почтовый адрес: 117420, г. Москва, ул. Намёткина, д. 16</ns0:t>
            </ns0:r>
          </ns0:p>
          <ns0:p>
            <ns0:pPr>
              <ns0:pStyle ns0:val="Normal"/>
              <ns0:rPr/>
            </ns0:pPr>
            <ns0:r>
              <ns0:rPr/>
              <ns0:t>ИНН 7728168971, КПП 772801001</ns0:t>
            </ns0:r>
          </ns0:p>
          <ns0:p>
            <ns0:pPr>
              <ns0:pStyle ns0:val="Normal"/>
              <ns0:rPr/>
            </ns0:pPr>
            <ns0:r>
              <ns0:rPr/>
              <ns0:t>Р/с 40702810400000012345</ns0:t>
            </ns0:r>
          </ns0:p>
          <ns0:p>
            <ns0:pPr>
              <ns0:pStyle ns0:val="Normal"/>
              <ns0:rPr/>
            </ns0:pPr>
            <ns0:r>
              <ns0:rPr/>
              <ns0:t>ПАО Сбербанк, г. Москва</ns0:t>
            </ns0:r>
          </ns0:p>
          <ns0:p>
            <ns0:pPr>
              <ns0:pStyle ns0:val="Normal"/>
              <ns0:rPr/>
            </ns0:pPr>
            <ns0:r>
              <ns0:rPr/>
              <ns0:t>БИК 044525225</ns0:t>
            </ns0:r>
          </ns0:p>
          <ns0:p>
            <ns0:pPr>
              <ns0:pStyle ns0:val="Normal"/>
              <ns0:rPr/>
            </ns0:pPr>
            <ns0:r>
              <ns0:rPr/>
              <ns0:t>К/с 30101810400000000225</ns0:t>
            </ns0:r>
          </ns0:p>
          <ns0:p>
            <ns0:pPr>
              <ns0:pStyle ns0:val="Normal"/>
              <ns0:rPr/>
            </ns0:pPr>
            <ns0:r>
              <ns0:rPr>
                <ns0:b/>
                <ns0:bCs/>
              </ns0:rPr>
              <ns0:t>Тел</ns0:t>
            </ns0:r>
            <ns0:r>
              <ns0:rPr>
                <ns0:b/>
                <ns0:bCs/>
                <ns0:lang ns0:val="en-US"/>
              </ns0:rPr>
              <ns0:t>.:</ns0:t>
            </ns0:r>
            <ns0:r>
              <ns0:rPr>
                <ns0:lang ns0:val="en-US"/>
              </ns0:rPr>
              <ns0:t xml:space="preserve"> +7 495 123-45-67</ns0:t>
            </ns0:r>
            <ns0:r>
              <ns0:rPr/>
              <ns0:t/>
            </ns0:r>
          </ns0:p>
          <ns0:p>
            <ns0:pPr>
              <ns0:pStyle ns0:val="Normal"/>
              <ns0:rPr>
                <ns0:lang ns0:val="en-US"/>
              </ns0:rPr>
            </ns0:pPr>
            <ns0:r>
              <ns0:rPr>
                <ns0:b/>
                <ns0:bCs/>
                <ns0:lang ns0:val="en-US"/>
              </ns0:rPr>
              <ns0:t>E-mail info@romashka.ru</ns0:t>
            </ns0:r>
          </ns0:p>
          <ns0:p>
            <ns0:pPr>
              <ns0:pStyle ns0:val="Normal"/>
              <ns0:rPr>
                <ns0:lang ns0:val="en-US"/>
              </ns0:rPr>
            </ns0:pPr>
            <ns0:r>
              <ns0:rPr>
                <ns0:lang ns0:val="en-US"/>
              </ns0:rPr>
            </ns0:r>
          </ns0:p>
          <ns0:p>
            <ns0:pPr>
              <ns0:pStyle ns0:val="Normal"/>
              <ns0:rPr>
                <ns0:lang ns0:val="en-US"/>
              </ns0:rPr>
            </ns0:pPr>
            <ns0:r>
              <ns0:rPr>
                <ns0:lang ns0:val="en-US"/>
              </ns0:rPr>
            </ns0:r>
          </ns0:p>
        </ns0:tc>
      </ns0:tr>
    </ns0:tbl>
    <ns0:p>
      <ns0:pPr>
        <ns0:pStyle ns0:val="Normal"/>
        <ns0:ind ns0:end="-717"/>
        <ns0:rPr>
          <ns0:lang ns0:val="en-US"/>
        </ns0:rPr>
      </ns0:pPr>
      <ns0:r>
        <ns0:rPr>
          <ns0:lang ns0:val="en-US"/>
        </ns0:rPr>
      </ns0:r>
    </ns0:p>
    <ns0:tbl>
      <ns0:tblPr>
        <ns0:tblpPr ns0:vertAnchor="text" ns0:horzAnchor="margin" ns0:tblpXSpec="center" ns0:leftFromText="180" ns0:rightFromText="180" ns0:tblpY="56"/>
        <ns0:tblW ns0:w="8928" ns0:type="dxa"/>
        <ns0:jc ns0:val="start"/>
        <ns0:tblInd ns0:w="108" ns0:type="dxa"/>
        <ns0:tblLayout ns0:type="fixed"/>
        <ns0:tblCellMar>
          <ns0:top ns0:w="0" ns0:type="dxa"/>
          <ns0:start ns0:w="108" ns0:type="dxa"/>
          <ns0:bottom ns0:w="0" ns0:type="dxa"/>
          <ns0:end ns0:w="108" ns0:type="dxa"/>
        </ns0:tblCellMar>
      </ns0:tblPr>
      <ns0:tblGrid>
        <ns0:gridCol ns0:w="4608"/>
        <ns0:gridCol ns0:w="4320"/>
      </ns0:tblGrid>
      <ns0:tr>
        <ns0:trPr>
          <ns0:trHeight ns0:val="2025" ns0:hRule="atLeast"/>
        </ns0:trPr>
        <ns0:tc>
          <ns0:tcPr>
            <ns0:tcW ns0:w="4608" ns0:type="dxa"/>
            <ns0:tcBorders/>
          </ns0:tcPr>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 xml:space="preserve">Директор </ns0:t>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ООО «ТПК «Тензосила»</ns0:t>
            </ns0:r>
          </ns0:p>
          <ns0:p>
            <ns0:pPr>
              <ns0:pStyle ns0:val="Heading3"/>
              <ns0:widowControl ns0:val="false"/>
              <ns0:ind ns0:hanging="0" ns0:start="0"/>
              <ns0:rPr>
                <ns0:b ns0:val="false"/>
                <ns0:sz ns0:val="24"/>
                <ns0:szCs ns0:val="24"/>
                <ns0:lang ns0:val="en-US" ns0:eastAsia="ru-RU"/>
              </ns0:rPr>
            </ns0:pPr>
            <ns0:r>
              <ns0:rPr>
                <ns0:b ns0:val="false"/>
                <ns0:sz ns0:val="24"/>
                <ns0:szCs ns0:val="24"/>
                <ns0:lang ns0:val="en-US" ns0:eastAsia="ru-RU"/>
              </ns0:rPr>
            </ns0:r>
          </ns0:p>
          <ns0:p>
            <ns0:pPr>
              <ns0:pStyle ns0:val="Normal"/>
              <ns0:rPr>
                <ns0:b/>
                <ns0:sz ns0:val="24"/>
                <ns0:szCs ns0:val="24"/>
                <ns0:lang ns0:val="en-US" ns0:eastAsia="ru-RU"/>
              </ns0:rPr>
            </ns0:pPr>
            <ns0:r>
              <ns0:rPr>
                <ns0:b/>
                <ns0:sz ns0:val="24"/>
                <ns0:szCs ns0:val="24"/>
                <ns0:lang ns0:val="en-US" ns0:eastAsia="ru-RU"/>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________________/О.А.Сенаторов/</ns0:t>
            </ns0:r>
          </ns0:p>
          <ns0:p>
            <ns0:pPr>
              <ns0:pStyle ns0:val="Normal"/>
              <ns0:widowControl ns0:val="false"/>
              <ns0:jc ns0:val="both"/>
              <ns0:rPr>
                <ns0:b/>
                <ns0:sz ns0:val="24"/>
                <ns0:szCs ns0:val="24"/>
                <ns0:lang ns0:val="ru-RU" ns0:eastAsia="ru-RU"/>
              </ns0:rPr>
            </ns0:pPr>
            <ns0:r>
              <ns0:rPr>
                <ns0:b/>
                <ns0:sz ns0:val="24"/>
                <ns0:szCs ns0:val="24"/>
                <ns0:lang ns0:val="ru-RU" ns0:eastAsia="ru-RU"/>
              </ns0:rPr>
            </ns0:r>
          </ns0:p>
          <ns0:p>
            <ns0:pPr>
              <ns0:pStyle ns0:val="Normal"/>
              <ns0:widowControl ns0:val="false"/>
              <ns0:jc ns0:val="both"/>
              <ns0:rPr/>
            </ns0:pPr>
            <ns0:r>
              <ns0:rPr/>
            </ns0:r>
          </ns0:p>
          <ns0:p>
            <ns0:pPr>
              <ns0:pStyle ns0:val="Normal"/>
              <ns0:widowControl ns0:val="false"/>
              <ns0:jc ns0:val="both"/>
              <ns0:rPr/>
            </ns0:pPr>
            <ns0:r>
              <ns0:rPr/>
              <ns0:t>"____" ___________2026 г.</ns0:t>
            </ns0:r>
          </ns0:p>
        </ns0:tc>
        <ns0:tc>
          <ns0:tcPr>
            <ns0:tcW ns0:w="4320" ns0:type="dxa"/>
            <ns0:tcBorders/>
          </ns0:tcPr>
          <ns0:p>
            <ns0:pPr>
              <ns0:pStyle ns0:val="Normal"/>
              <ns0:rPr/>
            </ns0:pPr>
            <ns0:r>
              <ns0:rPr/>
              <ns0:t>Генеральный директор</ns0:t>
            </ns0:r>
          </ns0:p>
          <ns0:p>
            <ns0:pPr>
              <ns0:pStyle ns0:val="Normal"/>
              <ns0:rPr/>
            </ns0:pPr>
            <ns0:r>
              <ns0:rPr/>
              <ns0:t>ООО «Ромашка»</ns0:t>
            </ns0:r>
          </ns0:p>
          <ns0:p>
            <ns0:pPr>
              <ns0:pStyle ns0:val="Normal"/>
              <ns0:rPr/>
            </ns0:pPr>
            <ns0:r>
              <ns0:rPr/>
            </ns0:r>
          </ns0:p>
          <ns0:p>
            <ns0:pPr>
              <ns0:pStyle ns0:val="Normal"/>
              <ns0:rPr/>
            </ns0:pPr>
            <ns0:r>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 И.И. Иванов/</ns0:t>
            </ns0:r>
          </ns0:p>
          <ns0:p>
            <ns0:pPr>
              <ns0:pStyle ns0:val="Normal"/>
              <ns0:rPr>
                <ns0:b/>
                <ns0:i/>
                <ns0:i/>
                <ns0:iCs/>
                <ns0:color ns0:val="000000"/>
                <ns0:sz ns0:val="24"/>
                <ns0:szCs ns0:val="24"/>
                <ns0:lang ns0:val="ru-RU" ns0:eastAsia="ru-RU"/>
              </ns0:rPr>
            </ns0:pPr>
            <ns0:r>
              <ns0:rPr>
                <ns0:b/>
                <ns0:i/>
                <ns0:iCs/>
                <ns0:color ns0:val="000000"/>
                <ns0:sz ns0:val="24"/>
                <ns0:szCs ns0:val="24"/>
                <ns0:lang ns0:val="ru-RU" ns0:eastAsia="ru-RU"/>
              </ns0:rPr>
            </ns0:r>
          </ns0:p>
          <ns0:p>
            <ns0:pPr>
              <ns0:pStyle ns0:val="Normal"/>
              <ns0:rPr>
                <ns0:i/>
                <ns0:i/>
                <ns0:iCs/>
                <ns0:color ns0:val="000000"/>
              </ns0:rPr>
            </ns0:pPr>
            <ns0:r>
              <ns0:rPr>
                <ns0:i/>
                <ns0:iCs/>
                <ns0:color ns0:val="000000"/>
              </ns0:rPr>
            </ns0:r>
          </ns0:p>
          <ns0:p>
            <ns0:pPr>
              <ns0:pStyle ns0:val="Normal"/>
              <ns0:widowControl ns0:val="false"/>
              <ns0:jc ns0:val="both"/>
              <ns0:rPr/>
            </ns0:pPr>
            <ns0:r>
              <ns0:rPr/>
              <ns0:t>"____"__________2026 г.</ns0:t>
            </ns0:r>
          </ns0:p>
          <ns0:p>
            <ns0:pPr>
              <ns0:pStyle ns0:val="Normal"/>
              <ns0:widowControl ns0:val="false"/>
              <ns0:jc ns0:val="both"/>
              <ns0:rPr>
                <ns0:sz ns0:val="16"/>
                <ns0:szCs ns0:val="16"/>
              </ns0:rPr>
            </ns0:pPr>
            <ns0:r>
              <ns0:rPr>
                <ns0:sz ns0:val="16"/>
                <ns0:szCs ns0:val="16"/>
              </ns0:rPr>
            </ns0:r>
          </ns0:p>
        </ns0:tc>
      </ns0:tr>
    </ns0:tbl>
    <ns0:p>
      <ns0:pPr>
        <ns0:pStyle ns0:val="Normal"/>
        <ns0:widowControl ns0:val="false"/>
        <ns0:ind ns0:start="567" ns0:end="0"/>
        <ns0:jc ns0:val="both"/>
        <ns0:rPr/>
      </ns0:pPr>
      <ns0:r>
        <ns0:rPr/>
      </ns0:r>
    </ns0:p>
    <ns0:p>
      <ns0:pPr>
        <ns0:pStyle ns0:val="Normal"/>
        <ns0:ind ns0:end="-717"/>
        <ns0:rPr/>
      </ns0:pPr>
      <ns0:r>
        <ns0:rPr/>
      </ns0:r>
    </ns0:p>
    <ns0:sectPr>
      <ns0:headerReference ns0:type="default" ns2:id="rId3"/>
      <ns0:footerReference ns0:type="default" ns2:id="rId4"/>
      <ns0:type ns0:val="nextPage"/>
      <ns0:pgSz ns0:w="11906" ns0:h="16838"/>
      <ns0:pgMar ns0:left="1418" ns0:right="424" ns0:gutter="0" ns0:header="709" ns0:top="765" ns0:footer="709" ns0:bottom="765"/>
      <ns0:pgNumType ns0:start="1" ns0:fmt="decimal"/>
      <ns0:formProt ns0:val="false"/>
      <ns0:textDirection ns0:val="lrTb"/>
      <ns0:docGrid ns0:type="default" ns0:linePitch="360" ns0:charSpace="0"/>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libri">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08"/>
      </w:tabs>
      <w:ind w:end="360"/>
      <w:rPr>
        <w:i/>
        <w:i/>
        <w:sz w:val="20"/>
        <w:szCs w:val="20"/>
      </w:rPr>
    </w:pPr>
    <w:r>
      <w:rPr>
        <w:i/>
        <w:sz w:val="20"/>
        <w:szCs w:val="20"/>
      </w:rPr>
    </w:r>
    <w:r>
      <mc:AlternateContent>
        <mc:Choice Requires="wps">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76835" cy="175260"/>
              <wp:effectExtent l="0" t="0" r="0" b="0"/>
              <wp:wrapSquare wrapText="bothSides"/>
              <wp:docPr id="1"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48.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p>
    <w:pPr>
      <w:pStyle w:val="Footer"/>
      <w:tabs>
        <w:tab w:val="clear" w:pos="708"/>
      </w:tabs>
      <w:ind w:end="360"/>
      <w:rPr>
        <w:i/>
        <w:i/>
        <w:sz w:val="20"/>
        <w:szCs w:val="20"/>
      </w:rPr>
    </w:pPr>
    <w:r>
      <w:rPr>
        <w:i/>
        <w:sz w:val="20"/>
        <w:szCs w:val="20"/>
      </w:rPr>
    </w:r>
  </w:p>
  <w:p>
    <w:pPr>
      <w:pStyle w:val="Footer"/>
      <w:tabs>
        <w:tab w:val="clear" w:pos="708"/>
      </w:tabs>
      <w:ind w:end="360"/>
      <w:rPr>
        <w:i/>
        <w:i/>
        <w:sz w:val="20"/>
        <w:szCs w:val="20"/>
      </w:rPr>
    </w:pPr>
    <w:r>
      <w:rPr>
        <w:i/>
        <w:sz w:val="20"/>
        <w:szCs w:val="20"/>
      </w:rPr>
      <w:t xml:space="preserve">Подрядчик _______________ </w:t>
      <w:tab/>
      <w:t xml:space="preserve">                                                                                                 Заказчик _____________</w:t>
    </w:r>
  </w:p>
  <w:p>
    <w:pPr>
      <w:pStyle w:val="Normal"/>
      <w:rPr>
        <w:rFonts w:ascii="Arial" w:hAnsi="Arial" w:cs="Arial"/>
        <w:b/>
        <w:i/>
        <w:i/>
        <w:sz w:val="18"/>
        <w:szCs w:val="18"/>
      </w:rPr>
    </w:pPr>
    <w:r>
      <w:rPr>
        <w:rFonts w:cs="Arial" w:ascii="Arial" w:hAnsi="Arial"/>
        <w:b/>
        <w:i/>
        <w:sz w:val="18"/>
        <w:szCs w:val="18"/>
      </w:rPr>
    </w:r>
  </w:p>
  <w:p>
    <w:pPr>
      <w:pStyle w:val="Normal"/>
      <w:rPr>
        <w:rFonts w:ascii="Arial" w:hAnsi="Arial" w:cs="Arial"/>
        <w:b/>
        <w:sz w:val="18"/>
        <w:szCs w:val="18"/>
      </w:rPr>
    </w:pPr>
    <w:r>
      <w:rPr>
        <w:rFonts w:cs="Arial" w:ascii="Arial" w:hAnsi="Arial"/>
        <w:b/>
        <w:sz w:val="18"/>
        <w:szCs w:val="18"/>
      </w:rPr>
    </w:r>
  </w:p>
  <w:p>
    <w:pPr>
      <w:pStyle w:val="Normal"/>
      <w:rPr>
        <w:b/>
        <w:sz w:val="18"/>
        <w:szCs w:val="18"/>
      </w:rPr>
    </w:pPr>
    <w:r>
      <w:rPr>
        <w:b/>
        <w:sz w:val="18"/>
        <w:szCs w:val="18"/>
      </w:rPr>
    </w:r>
  </w:p>
  <w:p>
    <w:pPr>
      <w:pStyle w:val="Footer"/>
      <w:rPr>
        <w:b/>
        <w:sz w:val="18"/>
        <w:szCs w:val="18"/>
      </w:rPr>
    </w:pPr>
    <w:r>
      <w:rPr>
        <w:b/>
        <w:sz w:val="18"/>
        <w:szCs w:val="18"/>
      </w:rPr>
    </w:r>
  </w:p>
  <w:p>
    <w:pPr>
      <w:pStyle w:val="Normal"/>
      <w:rPr>
        <w:sz w:val="18"/>
        <w:szCs w:val="18"/>
      </w:rPr>
    </w:pPr>
    <w:r>
      <w:rPr>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i/>
        <w:i/>
        <w:sz w:val="20"/>
        <w:szCs w:val="20"/>
      </w:rPr>
    </w:pPr>
    <w:r>
      <w:rPr>
        <w:i/>
        <w:sz w:val="20"/>
        <w:szCs w:val="20"/>
      </w:rPr>
      <w:t>Договор № G03/2026 от 16.11.2026г</w:t>
    </w:r>
  </w:p>
  <w:p>
    <w:pPr>
      <w:pStyle w:val="Header"/>
      <w:ind w:end="360"/>
      <w:rPr>
        <w:i/>
        <w:i/>
        <w:sz w:val="20"/>
        <w:szCs w:val="20"/>
      </w:rPr>
    </w:pPr>
    <w:r>
      <w:rPr>
        <w:i/>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800" w:hanging="720"/>
      </w:pPr>
      <w:rPr/>
    </w:lvl>
    <w:lvl w:ilvl="4">
      <w:start w:val="1"/>
      <w:numFmt w:val="decimal"/>
      <w:lvlText w:val="%1.%2.%3.%4.%5."/>
      <w:lvlJc w:val="start"/>
      <w:pPr>
        <w:tabs>
          <w:tab w:val="num" w:pos="0"/>
        </w:tabs>
        <w:ind w:start="2520" w:hanging="1080"/>
      </w:pPr>
      <w:rPr/>
    </w:lvl>
    <w:lvl w:ilvl="5">
      <w:start w:val="1"/>
      <w:numFmt w:val="decimal"/>
      <w:lvlText w:val="%1.%2.%3.%4.%5.%6."/>
      <w:lvlJc w:val="start"/>
      <w:pPr>
        <w:tabs>
          <w:tab w:val="num" w:pos="0"/>
        </w:tabs>
        <w:ind w:start="2880" w:hanging="1080"/>
      </w:pPr>
      <w:rPr/>
    </w:lvl>
    <w:lvl w:ilvl="6">
      <w:start w:val="1"/>
      <w:numFmt w:val="decimal"/>
      <w:lvlText w:val="%1.%2.%3.%4.%5.%6.%7."/>
      <w:lvlJc w:val="start"/>
      <w:pPr>
        <w:tabs>
          <w:tab w:val="num" w:pos="0"/>
        </w:tabs>
        <w:ind w:start="3600" w:hanging="1440"/>
      </w:pPr>
      <w:rPr/>
    </w:lvl>
    <w:lvl w:ilvl="7">
      <w:start w:val="1"/>
      <w:numFmt w:val="decimal"/>
      <w:lvlText w:val="%1.%2.%3.%4.%5.%6.%7.%8."/>
      <w:lvlJc w:val="start"/>
      <w:pPr>
        <w:tabs>
          <w:tab w:val="num" w:pos="0"/>
        </w:tabs>
        <w:ind w:start="3960" w:hanging="1440"/>
      </w:pPr>
      <w:rPr/>
    </w:lvl>
    <w:lvl w:ilvl="8">
      <w:start w:val="1"/>
      <w:numFmt w:val="decimal"/>
      <w:lvlText w:val="%1.%2.%3.%4.%5.%6.%7.%8.%9."/>
      <w:lvlJc w:val="start"/>
      <w:pPr>
        <w:tabs>
          <w:tab w:val="num" w:pos="0"/>
        </w:tabs>
        <w:ind w:start="4680" w:hanging="1800"/>
      </w:pPr>
      <w:rPr/>
    </w:lvl>
  </w:abstractNum>
  <w:abstractNum w:abstractNumId="3">
    <w:lvl w:ilvl="0">
      <w:start w:val="1"/>
      <w:numFmt w:val="decimal"/>
      <w:lvlText w:val="%1."/>
      <w:lvlJc w:val="start"/>
      <w:pPr>
        <w:tabs>
          <w:tab w:val="num" w:pos="465"/>
        </w:tabs>
        <w:ind w:start="0" w:hanging="0"/>
      </w:pPr>
      <w:rPr/>
    </w:lvl>
    <w:lvl w:ilvl="1">
      <w:start w:val="1"/>
      <w:numFmt w:val="decimal"/>
      <w:lvlText w:val="%1.%2."/>
      <w:lvlJc w:val="start"/>
      <w:pPr>
        <w:tabs>
          <w:tab w:val="num" w:pos="0"/>
        </w:tabs>
        <w:ind w:start="0" w:hanging="0"/>
      </w:pPr>
      <w:rPr>
        <w:b w:val="false"/>
        <w:bCs w:val="false"/>
      </w:rPr>
    </w:lvl>
    <w:lvl w:ilvl="2">
      <w:start w:val="1"/>
      <w:numFmt w:val="decimal"/>
      <w:lvlText w:val="%1.%2.%3."/>
      <w:lvlJc w:val="start"/>
      <w:pPr>
        <w:tabs>
          <w:tab w:val="num" w:pos="465"/>
        </w:tabs>
        <w:ind w:start="0" w:hanging="0"/>
      </w:pPr>
      <w:rPr/>
    </w:lvl>
    <w:lvl w:ilvl="3">
      <w:start w:val="1"/>
      <w:numFmt w:val="decimal"/>
      <w:lvlText w:val="%1.%2.%3.%4."/>
      <w:lvlJc w:val="start"/>
      <w:pPr>
        <w:tabs>
          <w:tab w:val="num" w:pos="465"/>
        </w:tabs>
        <w:ind w:start="0" w:hanging="0"/>
      </w:pPr>
      <w:rPr/>
    </w:lvl>
    <w:lvl w:ilvl="4">
      <w:start w:val="1"/>
      <w:numFmt w:val="decimal"/>
      <w:lvlText w:val="%1.%2.%3.%4.%5."/>
      <w:lvlJc w:val="start"/>
      <w:pPr>
        <w:tabs>
          <w:tab w:val="num" w:pos="465"/>
        </w:tabs>
        <w:ind w:start="0" w:hanging="0"/>
      </w:pPr>
      <w:rPr/>
    </w:lvl>
    <w:lvl w:ilvl="5">
      <w:start w:val="1"/>
      <w:numFmt w:val="decimal"/>
      <w:lvlText w:val="%1.%2.%3.%4.%5.%6."/>
      <w:lvlJc w:val="start"/>
      <w:pPr>
        <w:tabs>
          <w:tab w:val="num" w:pos="465"/>
        </w:tabs>
        <w:ind w:start="0" w:hanging="0"/>
      </w:pPr>
      <w:rPr/>
    </w:lvl>
    <w:lvl w:ilvl="6">
      <w:start w:val="1"/>
      <w:numFmt w:val="decimal"/>
      <w:lvlText w:val="%1.%2.%3.%4.%5.%6.%7."/>
      <w:lvlJc w:val="start"/>
      <w:pPr>
        <w:tabs>
          <w:tab w:val="num" w:pos="465"/>
        </w:tabs>
        <w:ind w:start="0" w:hanging="0"/>
      </w:pPr>
      <w:rPr/>
    </w:lvl>
    <w:lvl w:ilvl="7">
      <w:start w:val="1"/>
      <w:numFmt w:val="decimal"/>
      <w:lvlText w:val="%1.%2.%3.%4.%5.%6.%7.%8."/>
      <w:lvlJc w:val="start"/>
      <w:pPr>
        <w:tabs>
          <w:tab w:val="num" w:pos="465"/>
        </w:tabs>
        <w:ind w:start="0" w:hanging="0"/>
      </w:pPr>
      <w:rPr/>
    </w:lvl>
    <w:lvl w:ilvl="8">
      <w:start w:val="1"/>
      <w:numFmt w:val="decimal"/>
      <w:lvlText w:val="%1.%2.%3.%4.%5.%6.%7.%8.%9."/>
      <w:lvlJc w:val="start"/>
      <w:pPr>
        <w:tabs>
          <w:tab w:val="num" w:pos="465"/>
        </w:tabs>
        <w:ind w:start="0" w:hanging="0"/>
      </w:pPr>
      <w:rPr/>
    </w:lvl>
  </w:abstractNum>
  <w:abstractNum w:abstractNumId="4">
    <w:lvl w:ilvl="0">
      <w:start w:val="1"/>
      <w:numFmt w:val="decimal"/>
      <w:lvlText w:val="6.%1."/>
      <w:lvlJc w:val="start"/>
      <w:pPr>
        <w:tabs>
          <w:tab w:val="num" w:pos="0"/>
        </w:tabs>
        <w:ind w:start="360" w:hanging="360"/>
      </w:pPr>
      <w:rPr/>
    </w:lvl>
  </w:abstractNum>
  <w:abstractNum w:abstractNumId="5">
    <w:lvl w:ilvl="0">
      <w:start w:val="1"/>
      <w:numFmt w:val="decimal"/>
      <w:lvlText w:val="7.%1."/>
      <w:lvlJc w:val="start"/>
      <w:pPr>
        <w:tabs>
          <w:tab w:val="num" w:pos="0"/>
        </w:tabs>
        <w:ind w:start="360" w:hanging="360"/>
      </w:pPr>
      <w:rPr/>
    </w:lvl>
  </w:abstractNum>
  <w:abstractNum w:abstractNumId="6">
    <w:lvl w:ilvl="0">
      <w:start w:val="1"/>
      <w:numFmt w:val="decimal"/>
      <w:lvlText w:val="8.%1."/>
      <w:lvlJc w:val="start"/>
      <w:pPr>
        <w:tabs>
          <w:tab w:val="num" w:pos="0"/>
        </w:tabs>
        <w:ind w:star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jc w:val="center"/>
      <w:outlineLvl w:val="0"/>
    </w:pPr>
    <w:rPr>
      <w:szCs w:val="20"/>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jc w:val="both"/>
      <w:outlineLvl w:val="2"/>
    </w:pPr>
    <w:rPr>
      <w:b/>
      <w:sz w:val="22"/>
      <w:szCs w:val="20"/>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color w:val="000000"/>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Symbol" w:hAnsi="Symbol" w:cs="Symbol"/>
    </w:rPr>
  </w:style>
  <w:style w:type="character" w:styleId="WW8Num15z2">
    <w:name w:val="WW8Num15z2"/>
    <w:qFormat/>
    <w:rPr>
      <w:rFonts w:ascii="Wingdings" w:hAnsi="Wingdings" w:cs="Wingdings"/>
    </w:rPr>
  </w:style>
  <w:style w:type="character" w:styleId="WW8Num15z4">
    <w:name w:val="WW8Num15z4"/>
    <w:qFormat/>
    <w:rPr>
      <w:rFonts w:ascii="Courier New" w:hAnsi="Courier New" w:cs="Courier New"/>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0z1">
    <w:name w:val="WW8Num20z1"/>
    <w:qFormat/>
    <w:rPr>
      <w:b w:val="false"/>
      <w:bCs w:val="false"/>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color w:val="000000"/>
    </w:rPr>
  </w:style>
  <w:style w:type="character" w:styleId="WW8Num27z0">
    <w:name w:val="WW8Num27z0"/>
    <w:qFormat/>
    <w:rPr/>
  </w:style>
  <w:style w:type="character" w:styleId="WW8Num28z0">
    <w:name w:val="WW8Num28z0"/>
    <w:qFormat/>
    <w:rPr/>
  </w:style>
  <w:style w:type="character" w:styleId="WW8Num29z0">
    <w:name w:val="WW8Num29z0"/>
    <w:qFormat/>
    <w:rPr>
      <w:rFonts w:ascii="Symbol" w:hAnsi="Symbol" w:cs="Symbol"/>
      <w:color w:val="000000"/>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000000"/>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8z0">
    <w:name w:val="WW8Num38z0"/>
    <w:qFormat/>
    <w:rPr/>
  </w:style>
  <w:style w:type="character" w:styleId="WW8Num40z0">
    <w:name w:val="WW8Num40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Style11">
    <w:name w:val="Основной шрифт абзаца"/>
    <w:qFormat/>
    <w:rPr/>
  </w:style>
  <w:style w:type="character" w:styleId="PageNumber">
    <w:name w:val="Page Number"/>
    <w:basedOn w:val="Style11"/>
    <w:rPr/>
  </w:style>
  <w:style w:type="character" w:styleId="Style12">
    <w:name w:val="Текст выноски Знак"/>
    <w:qFormat/>
    <w:rPr>
      <w:rFonts w:ascii="Tahoma" w:hAnsi="Tahoma" w:cs="Tahoma"/>
      <w:sz w:val="16"/>
      <w:szCs w:val="16"/>
    </w:rPr>
  </w:style>
  <w:style w:type="character" w:styleId="Style13">
    <w:name w:val="Текст Знак"/>
    <w:qFormat/>
    <w:rPr>
      <w:rFonts w:ascii="Courier New" w:hAnsi="Courier New" w:cs="Courier New"/>
    </w:rPr>
  </w:style>
  <w:style w:type="character" w:styleId="3">
    <w:name w:val="Основной текст 3 Знак"/>
    <w:qFormat/>
    <w:rPr>
      <w:sz w:val="16"/>
      <w:szCs w:val="16"/>
    </w:rPr>
  </w:style>
  <w:style w:type="character" w:styleId="31">
    <w:name w:val="Заголовок 3 Знак"/>
    <w:qFormat/>
    <w:rPr>
      <w:b/>
      <w:sz w:val="22"/>
    </w:rPr>
  </w:style>
  <w:style w:type="character" w:styleId="Hyperlink">
    <w:name w:val="Hyperlink"/>
    <w:rPr>
      <w:color w:val="0000FF"/>
      <w:u w:val="single"/>
    </w:rPr>
  </w:style>
  <w:style w:type="character" w:styleId="HTML">
    <w:name w:val="Стандартный HTML Знак"/>
    <w:qFormat/>
    <w:rPr>
      <w:rFonts w:ascii="Courier New" w:hAnsi="Courier New" w:cs="Courier New"/>
      <w:color w:val="000000"/>
    </w:rPr>
  </w:style>
  <w:style w:type="character" w:styleId="Style14">
    <w:name w:val="Название Знак"/>
    <w:qFormat/>
    <w:rPr>
      <w:b/>
      <w:bCs/>
      <w:sz w:val="28"/>
      <w:szCs w:val="24"/>
    </w:rPr>
  </w:style>
  <w:style w:type="character" w:styleId="bx-font">
    <w:name w:val="bx-font"/>
    <w:basedOn w:val="Style11"/>
    <w:qFormat/>
    <w:rPr/>
  </w:style>
  <w:style w:type="character" w:styleId="UnresolvedMention">
    <w:name w:val="Unresolved Mention"/>
    <w:qFormat/>
    <w:rPr>
      <w:color w:val="605E5C"/>
      <w:shd w:fill="E1DFDD" w:val="clear"/>
    </w:rPr>
  </w:style>
  <w:style w:type="character" w:styleId="Style15">
    <w:name w:val="Неразрешенное упоминание"/>
    <w:qFormat/>
    <w:rPr>
      <w:color w:val="605E5C"/>
      <w:shd w:fill="E1DFDD" w:val="clear"/>
    </w:rPr>
  </w:style>
  <w:style w:type="paragraph" w:styleId="Heading">
    <w:name w:val="Heading"/>
    <w:basedOn w:val="Normal"/>
    <w:next w:val="BodyText"/>
    <w:qFormat/>
    <w:pPr>
      <w:jc w:val="center"/>
    </w:pPr>
    <w:rPr>
      <w:b/>
      <w:bCs/>
      <w:sz w:val="28"/>
      <w:lang w:val="en-US"/>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6">
    <w:name w:val="Текст"/>
    <w:basedOn w:val="Normal"/>
    <w:qFormat/>
    <w:pPr/>
    <w:rPr>
      <w:rFonts w:ascii="Courier New" w:hAnsi="Courier New" w:cs="Courier New"/>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paragraph" w:styleId="BodyTextIndent">
    <w:name w:val="Body Text Indent"/>
    <w:basedOn w:val="Normal"/>
    <w:pPr>
      <w:ind w:firstLine="567" w:start="0" w:end="0"/>
      <w:jc w:val="both"/>
    </w:pPr>
    <w:rPr/>
  </w:style>
  <w:style w:type="paragraph" w:styleId="32">
    <w:name w:val="Основной текст с отступом 3"/>
    <w:basedOn w:val="Normal"/>
    <w:qFormat/>
    <w:pPr>
      <w:spacing w:before="0" w:after="120"/>
      <w:ind w:hanging="0" w:start="283" w:end="0"/>
    </w:pPr>
    <w:rPr>
      <w:sz w:val="16"/>
      <w:szCs w:val="16"/>
    </w:rPr>
  </w:style>
  <w:style w:type="paragraph" w:styleId="ConsPlusNormal">
    <w:name w:val="ConsPlusNormal"/>
    <w:qFormat/>
    <w:pPr>
      <w:widowControl/>
      <w:autoSpaceDE w:val="false"/>
      <w:bidi w:val="0"/>
      <w:ind w:firstLine="720" w:start="0" w:end="0"/>
    </w:pPr>
    <w:rPr>
      <w:rFonts w:ascii="Arial" w:hAnsi="Arial" w:eastAsia="Times New Roman" w:cs="Arial"/>
      <w:color w:val="auto"/>
      <w:sz w:val="20"/>
      <w:szCs w:val="20"/>
      <w:lang w:val="ru-RU" w:bidi="ar-SA" w:eastAsia="zh-CN"/>
    </w:rPr>
  </w:style>
  <w:style w:type="paragraph" w:styleId="Style17">
    <w:name w:val="Без интервала"/>
    <w:qFormat/>
    <w:pPr>
      <w:widowControl/>
      <w:bidi w:val="0"/>
    </w:pPr>
    <w:rPr>
      <w:rFonts w:ascii="Calibri" w:hAnsi="Calibri" w:eastAsia="Calibri" w:cs="Calibri"/>
      <w:color w:val="auto"/>
      <w:sz w:val="22"/>
      <w:szCs w:val="22"/>
      <w:lang w:val="ru-RU" w:bidi="ar-SA" w:eastAsia="zh-CN"/>
    </w:rPr>
  </w:style>
  <w:style w:type="paragraph" w:styleId="Style18">
    <w:name w:val="Название объекта"/>
    <w:basedOn w:val="Normal"/>
    <w:qFormat/>
    <w:pPr>
      <w:jc w:val="center"/>
    </w:pPr>
    <w:rPr>
      <w:b/>
      <w:sz w:val="22"/>
      <w:szCs w:val="20"/>
    </w:rPr>
  </w:style>
  <w:style w:type="paragraph" w:styleId="Default">
    <w:name w:val="Default"/>
    <w:qFormat/>
    <w:pPr>
      <w:widowControl/>
      <w:autoSpaceDE w:val="false"/>
      <w:bidi w:val="0"/>
    </w:pPr>
    <w:rPr>
      <w:rFonts w:ascii="Arial" w:hAnsi="Arial" w:eastAsia="Times New Roman" w:cs="Arial"/>
      <w:color w:val="000000"/>
      <w:sz w:val="24"/>
      <w:szCs w:val="24"/>
      <w:lang w:val="ru-RU" w:bidi="ar-SA" w:eastAsia="zh-CN"/>
    </w:rPr>
  </w:style>
  <w:style w:type="paragraph" w:styleId="Style19">
    <w:name w:val="Текст выноски"/>
    <w:basedOn w:val="Normal"/>
    <w:qFormat/>
    <w:pPr/>
    <w:rPr>
      <w:rFonts w:ascii="Tahoma" w:hAnsi="Tahoma" w:cs="Tahoma"/>
      <w:sz w:val="16"/>
      <w:szCs w:val="16"/>
      <w:lang w:val="en-US"/>
    </w:rPr>
  </w:style>
  <w:style w:type="paragraph" w:styleId="33">
    <w:name w:val="Основной текст 3"/>
    <w:basedOn w:val="Normal"/>
    <w:qFormat/>
    <w:pPr>
      <w:spacing w:before="0" w:after="120"/>
    </w:pPr>
    <w:rPr>
      <w:sz w:val="16"/>
      <w:szCs w:val="16"/>
      <w:lang w:val="en-US"/>
    </w:rPr>
  </w:style>
  <w:style w:type="paragraph" w:styleId="Style20">
    <w:name w:val="Обычный (веб)"/>
    <w:basedOn w:val="Normal"/>
    <w:qFormat/>
    <w:pPr>
      <w:spacing w:before="280" w:after="280"/>
    </w:pPr>
    <w:rPr/>
  </w:style>
  <w:style w:type="paragraph" w:styleId="Standard">
    <w:name w:val="Standard"/>
    <w:qFormat/>
    <w:pPr>
      <w:widowControl w:val="false"/>
      <w:suppressAutoHyphens w:val="true"/>
      <w:bidi w:val="0"/>
      <w:textAlignment w:val="baseline"/>
    </w:pPr>
    <w:rPr>
      <w:rFonts w:ascii="Arial" w:hAnsi="Arial" w:eastAsia="Lucida Sans Unicode" w:cs="Mangal"/>
      <w:color w:val="auto"/>
      <w:kern w:val="2"/>
      <w:sz w:val="21"/>
      <w:szCs w:val="24"/>
      <w:lang w:val="ru-RU" w:eastAsia="zh-CN" w:bidi="hi-IN"/>
    </w:rPr>
  </w:style>
  <w:style w:type="paragraph" w:styleId="HTML1">
    <w:name w:val="Стандартный HTML"/>
    <w:basedOn w:val="Normal"/>
    <w:qFormat/>
    <w:pPr/>
    <w:rPr>
      <w:rFonts w:ascii="Courier New" w:hAnsi="Courier New" w:cs="Courier New"/>
      <w:color w:val="000000"/>
      <w:sz w:val="20"/>
      <w:szCs w:val="20"/>
    </w:rPr>
  </w:style>
  <w:style w:type="paragraph" w:styleId="Style21">
    <w:name w:val="Абзац списка"/>
    <w:basedOn w:val="Normal"/>
    <w:qFormat/>
    <w:pPr>
      <w:spacing w:before="0" w:after="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il@tenzosila.ru"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2023-07-17T07:29:00Z</dcterms:created>
  <dc:creator>User</dc:creator>
  <dc:description/>
  <cp:keywords/>
  <dc:language>en-US</dc:language>
  <cp:lastModifiedBy>Сергей Глебов</cp:lastModifiedBy>
  <cp:lastPrinted>2023-07-13T10:34:00Z</cp:lastPrinted>
  <dcterms:modified xsi:type="dcterms:W3CDTF">2026-03-27T05:24:00Z</dcterms:modified>
  <cp:revision>11</cp:revision>
  <dc:subject/>
  <dc:title>Договор подряда №8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e236e852590c46cbb7362b7dd0d33463</vt:lpwstr>
  </property>
</Properties>
</file>