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G07/2026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«Ромашка»</ns0:t>
      </ns0:r>
      <ns0:r>
        <ns0:rPr>
          <ns0:b/>
        </ns0:rPr>
        <ns0:t>,</ns0:t>
      </ns0:r>
      <ns0:r>
        <ns0:t xml:space="preserve"> именуемое в дальнейшем «Заказчик», в лице Генерального директора Иванова Ивана Ивановича,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Бетонное основание для весов на раме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550 000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2 655 972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2 655 972 (два миллиона шестьсот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1 177 986 (один миллион сто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275 000 (двести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8.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9.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10.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11. В случае, если в ходе выполнения Работ возникнут обстоятельства, нарушающие условия п.п. 6-10 настоящей Спецификации, по ним применяются п.п. 3.2-3.4 Договора.</ns0:t>
      </ns0:r>
    </ns0:p>
    <ns0:p>
      <ns0:pPr>
        <ns0:jc ns0:val="both"/>
      </ns0:pPr>
      <ns0:r>
        <ns0:t xml:space="preserve">12. Адрес поставки Весов и выполнения Работ по настоящей Спецификации: Московская обл., г. Подольск, промзона «Львовская», уч. 7.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13.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14.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Генеральный 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«Ромашка»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/И.И. Иванов/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И.И. Иванов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G07/2026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