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DE NECESIDAD</w:t>
      </w:r>
    </w:p>
    <w:p>
      <w:pPr>
        <w:spacing w:after="120"/>
        <w:jc w:val="center"/>
      </w:pPr>
      <w:r>
        <w:rPr>
          <w:b/>
          <w:bCs/>
        </w:rPr>
        <w:t xml:space="preserve">Adquisición de equipo de cómputo de alto rendimiento para el laboratorio de la OTRI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Código: INF-NEC-OTRI-2026-031 · Guayaquil, 30 de junio de 2026</w:t>
      </w:r>
    </w:p>
    <w:p>
      <w:r>
        <w:rPr>
          <w:b/>
          <w:bCs/>
          <w:color w:val="003366"/>
          <w:sz w:val="24"/>
          <w:szCs w:val="24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Antecedentes</w:t>
      </w:r>
    </w:p>
    <w:p>
      <w:pPr>
        <w:spacing w:after="120"/>
        <w:jc w:val="both"/>
      </w:pPr>
      <w:r>
        <w:t xml:space="preserve">La Escuela Superior Politécnica del Litoral (ESPOL), a través de la Oficina de Transferencia de Resultados de Investigación, requiere fortalecer su capacidad de procesamiento para tareas de análisis de datos y simulación asociadas a los proyectos de investigación en ejecución. El equipamiento actual presenta limitaciones de memoria y cómputo que afectan los tiempos de entrega de resultados.</w:t>
      </w:r>
    </w:p>
    <w:p>
      <w:pPr>
        <w:pStyle w:val="Heading1"/>
      </w:pPr>
      <w:r>
        <w:t xml:space="preserve">2. Justificación</w:t>
      </w:r>
    </w:p>
    <w:p>
      <w:pPr>
        <w:spacing w:after="120"/>
        <w:jc w:val="both"/>
      </w:pPr>
      <w:r>
        <w:t xml:space="preserve">La adquisición se justifica por el incremento sostenido de la producción científica de la unidad, según se observa en el siguiente comportamiento histórico: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076450"/>
            <wp:effectExtent t="0" r="0" b="0" l="0"/>
            <wp:docPr id="1" name="grafico" descr="Publicaciones por año (datos sintéticos)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8"/>
          <w:szCs w:val="18"/>
        </w:rPr>
        <w:t xml:space="preserve">Figura 1. Publicaciones por año (datos sintéticos).</w:t>
      </w:r>
    </w:p>
    <w:p>
      <w:pPr>
        <w:spacing w:after="120"/>
        <w:jc w:val="both"/>
      </w:pPr>
      <w:r>
        <w:t xml:space="preserve">Los beneficios esperados incluyen:</w:t>
      </w:r>
    </w:p>
    <w:p>
      <w:pPr>
        <w:pStyle w:val="ListParagraph"/>
        <w:numPr>
          <w:ilvl w:val="0"/>
          <w:numId w:val="2"/>
        </w:numPr>
      </w:pPr>
      <w:r>
        <w:t xml:space="preserve">Reducción de los tiempos de procesamiento de modelos.</w:t>
      </w:r>
    </w:p>
    <w:p>
      <w:pPr>
        <w:pStyle w:val="ListParagraph"/>
        <w:numPr>
          <w:ilvl w:val="0"/>
          <w:numId w:val="2"/>
        </w:numPr>
      </w:pPr>
      <w:r>
        <w:t xml:space="preserve">Soporte a proyectos con uso intensivo de datos.</w:t>
      </w:r>
    </w:p>
    <w:p>
      <w:pPr>
        <w:pStyle w:val="ListParagraph"/>
        <w:numPr>
          <w:ilvl w:val="0"/>
          <w:numId w:val="2"/>
        </w:numPr>
      </w:pPr>
      <w:r>
        <w:t xml:space="preserve">Mayor disponibilidad de recursos compartidos para investigadores.</w:t>
      </w:r>
    </w:p>
    <w:p>
      <w:pPr>
        <w:pStyle w:val="Heading1"/>
      </w:pPr>
      <w:r>
        <w:t xml:space="preserve">3. Especificaciones técnicas</w:t>
      </w:r>
    </w:p>
    <w:p>
      <w:pPr>
        <w:spacing w:after="120"/>
        <w:jc w:val="both"/>
      </w:pPr>
      <w:r>
        <w:t xml:space="preserve">Se detallan las características mínimas requeridas:</w:t>
      </w:r>
      <w:r>
        <w:rPr>
          <w:rStyle w:val="FootnoteReference"/>
        </w:rPr>
        <w:footnote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Mínimo 16 núcleos / 32 hilos, frecuencia base ≥ 3.0 GHz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128 GB DDR5 ECC, ampliable a 256 GB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TB NVMe (SO) + 8 TB SSD (datos)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Tarjeta con 24 GB VRAM para cómputo acelerado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Compatible con Linux y Windows; ofimática en formato abierto (ODF)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Garantía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Mínimo 36 meses en sitio</w:t>
            </w:r>
          </w:p>
        </w:tc>
      </w:tr>
    </w:tbl>
    <w:p>
      <w:pPr>
        <w:pStyle w:val="Heading2"/>
      </w:pPr>
      <w:r>
        <w:t xml:space="preserve">3.1. Condiciones de entrega</w:t>
      </w:r>
    </w:p>
    <w:p>
      <w:pPr>
        <w:spacing w:after="120"/>
        <w:jc w:val="both"/>
      </w:pPr>
      <w:r>
        <w:t xml:space="preserve">El proveedor deberá realizar la entrega, instalación y configuración en las instalaciones de la OTRI, así como una capacitación básica al personal técnico.</w:t>
      </w:r>
    </w:p>
    <w:p>
      <w:pPr>
        <w:pStyle w:val="Heading1"/>
      </w:pPr>
      <w:r>
        <w:t xml:space="preserve">4. Presupuesto referencial</w:t>
      </w:r>
    </w:p>
    <w:p>
      <w:pPr>
        <w:spacing w:after="120"/>
        <w:jc w:val="both"/>
      </w:pPr>
      <w:r>
        <w:t xml:space="preserve">El presupuesto referencial estimado asciende a USD 7.850,00 (siete mil ochocientos cincuenta dólares con 00/100), sin incluir IVA, con cargo a la partida de investigación correspondiente.</w:t>
      </w:r>
    </w:p>
    <w:p>
      <w:pPr>
        <w:pStyle w:val="Heading1"/>
      </w:pPr>
      <w:r>
        <w:t xml:space="preserve">5. Conclusión</w:t>
      </w:r>
    </w:p>
    <w:p>
      <w:pPr>
        <w:spacing w:after="120"/>
        <w:jc w:val="both"/>
      </w:pPr>
      <w:r>
        <w:t xml:space="preserve">Por lo expuesto, se recomienda autorizar el inicio del proceso de adquisición conforme a la normativa de contratación pública vigente.</w:t>
      </w:r>
    </w:p>
    <w:p>
      <w:pPr>
        <w:spacing w:before="320"/>
        <w:jc w:val="center"/>
      </w:pPr>
      <w:r>
        <w:t xml:space="preserve">______________________________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Mgs. Lucía Fernanda Andrade Torres</w:t>
      </w:r>
    </w:p>
    <w:p>
      <w:pPr>
        <w:jc w:val="center"/>
      </w:pPr>
      <w:r>
        <w:t xml:space="preserve">Coordinadora de Proyectos — OTRI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Las especificaciones son mínimas; se aceptan características iguales o superiores.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Times New Roman" w:cs="Times New Roman" w:eastAsia="Times New Roman" w:hAnsi="Times New Roman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ba45c38a384aa817cd528124203d8af75c121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2026-06-30T16:24:24.953Z</dcterms:created>
  <dcterms:modified xsi:type="dcterms:W3CDTF">2026-06-30T16:24:24.953Z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