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Documento de Prompts — Validación de Insights con IA</w:t>
      </w:r>
    </w:p>
    <w:p>
      <w:pPr>
        <w:spacing w:after="160"/>
      </w:pPr>
      <w:r>
        <w:rPr>
          <w:b w:val="false"/>
          <w:bCs w:val="false"/>
          <w:i/>
          <w:iCs/>
          <w:color w:val="666666"/>
          <w:sz w:val="22"/>
          <w:szCs w:val="22"/>
        </w:rPr>
        <w:t xml:space="preserve">Dashboard Final — Cosmética Directa 2026</w:t>
      </w:r>
    </w:p>
    <w:p/>
    <w:p>
      <w:pPr>
        <w:pStyle w:val="Heading2"/>
      </w:pPr>
      <w:r>
        <w:t xml:space="preserve">1. Análisis Humano (previo a la IA)</w:t>
      </w:r>
    </w:p>
    <w:p>
      <w:pPr>
        <w:spacing w:after="160"/>
      </w:pPr>
      <w:r>
        <w:rPr>
          <w:b w:val="false"/>
          <w:bCs w:val="false"/>
          <w:i w:val="false"/>
          <w:iCs w:val="false"/>
          <w:sz w:val="22"/>
          <w:szCs w:val="22"/>
        </w:rPr>
        <w:t xml:space="preserve">Antes de consultar a la IA, observé el dashboard y escribí estas conclusiones:</w:t>
      </w:r>
    </w:p>
    <w:p>
      <w:pPr>
        <w:spacing w:after="160"/>
      </w:pPr>
      <w:r>
        <w:rPr>
          <w:b w:val="false"/>
          <w:bCs w:val="false"/>
          <w:i w:val="false"/>
          <w:iCs w:val="false"/>
          <w:sz w:val="22"/>
          <w:szCs w:val="22"/>
        </w:rPr>
        <w:t xml:space="preserve">• La facturación cae 23,4% en el segundo semestre respecto al primero, con el punto más bajo en agosto.</w:t>
      </w:r>
    </w:p>
    <w:p>
      <w:pPr>
        <w:spacing w:after="160"/>
      </w:pPr>
      <w:r>
        <w:rPr>
          <w:b w:val="false"/>
          <w:bCs w:val="false"/>
          <w:i w:val="false"/>
          <w:iCs w:val="false"/>
          <w:sz w:val="22"/>
          <w:szCs w:val="22"/>
        </w:rPr>
        <w:t xml:space="preserve">• El margen global (48,9%) sigue por encima de la meta del 45%, pese a la caída de ventas.</w:t>
      </w:r>
    </w:p>
    <w:p>
      <w:pPr>
        <w:spacing w:after="160"/>
      </w:pPr>
      <w:r>
        <w:rPr>
          <w:b w:val="false"/>
          <w:bCs w:val="false"/>
          <w:i w:val="false"/>
          <w:iCs w:val="false"/>
          <w:sz w:val="22"/>
          <w:szCs w:val="22"/>
        </w:rPr>
        <w:t xml:space="preserve">• En el gráfico de Precio vs. Costo no se ven outliers claros por categoría.</w:t>
      </w:r>
    </w:p>
    <w:p/>
    <w:p>
      <w:pPr>
        <w:pStyle w:val="Heading2"/>
      </w:pPr>
      <w:r>
        <w:t xml:space="preserve">2. Prompt usado (abogado del diablo)</w:t>
      </w:r>
    </w:p>
    <w:p>
      <w:pPr>
        <w:spacing w:after="160"/>
      </w:pPr>
      <w:r>
        <w:rPr>
          <w:b/>
          <w:bCs/>
          <w:i w:val="false"/>
          <w:iCs w:val="false"/>
          <w:sz w:val="22"/>
          <w:szCs w:val="22"/>
        </w:rPr>
        <w:t xml:space="preserve">Prompt enviado a la IA:</w:t>
      </w:r>
    </w:p>
    <w:p>
      <w:pPr>
        <w:spacing w:after="160"/>
      </w:pPr>
      <w:r>
        <w:rPr>
          <w:b w:val="false"/>
          <w:bCs w:val="false"/>
          <w:i/>
          <w:iCs/>
          <w:sz w:val="22"/>
          <w:szCs w:val="22"/>
        </w:rPr>
        <w:t xml:space="preserve">"Tengo un dashboard de ventas de una empresa de cosmética con estos datos: la facturación cayó 23,4% en el segundo semestre de 2026 respecto al primero, con el punto más bajo en agosto. El margen se mantiene en 48,9%, por encima de la meta de 45%. No detecto outliers de pricing por categoría. Mis conclusiones son: (1) es una caída sostenida de 4-5 meses, no un mes puntual; (2) el margen no está comprometido todavía; (3) el problema parece ser de volumen, no de pricing. Actuá como abogado del diablo: ¿qué sesgos, errores de lógica o variables omitidas podrían estar detrás de esta interpretación? ¿Qué hipótesis alternativas explicarían la misma caída?"</w:t>
      </w:r>
    </w:p>
    <w:p/>
    <w:p>
      <w:pPr>
        <w:pStyle w:val="Heading2"/>
      </w:pPr>
      <w:r>
        <w:t xml:space="preserve">3. Respuesta de la IA (resumida)</w:t>
      </w:r>
    </w:p>
    <w:p>
      <w:pPr>
        <w:spacing w:after="160"/>
      </w:pPr>
      <w:r>
        <w:rPr>
          <w:b/>
          <w:bCs/>
          <w:i w:val="false"/>
          <w:iCs w:val="false"/>
          <w:sz w:val="22"/>
          <w:szCs w:val="22"/>
        </w:rPr>
        <w:t xml:space="preserve">Sesgos y variables omitidas señaladas:</w:t>
      </w:r>
    </w:p>
    <w:p>
      <w:pPr>
        <w:spacing w:after="160"/>
      </w:pPr>
      <w:r>
        <w:rPr>
          <w:b w:val="false"/>
          <w:bCs w:val="false"/>
          <w:i w:val="false"/>
          <w:iCs w:val="false"/>
          <w:sz w:val="22"/>
          <w:szCs w:val="22"/>
        </w:rPr>
        <w:t xml:space="preserve">• Estacionalidad no descartada: sin datos de 2025, no se puede saber si esta caída de H2 es un patrón anual normal del rubro cosmética (por ejemplo, menor consumo en invierno) o algo nuevo. Comparar solo H1 vs H2 de un único año puede confundir estacionalidad con tendencia real.</w:t>
      </w:r>
    </w:p>
    <w:p>
      <w:pPr>
        <w:spacing w:after="160"/>
      </w:pPr>
      <w:r>
        <w:rPr>
          <w:b w:val="false"/>
          <w:bCs w:val="false"/>
          <w:i w:val="false"/>
          <w:iCs w:val="false"/>
          <w:sz w:val="22"/>
          <w:szCs w:val="22"/>
        </w:rPr>
        <w:t xml:space="preserve">• "El margen está bien" es una lectura agregada: el 48,9% es el promedio de todo el año, pero no se desglosó si el margen de los meses de baja facturación (Jul-Dic) es distinto al de los meses altos. Es posible que el margen esté compensado por meses fuertes y en realidad venga cayendo también en el segundo semestre.</w:t>
      </w:r>
    </w:p>
    <w:p>
      <w:pPr>
        <w:spacing w:after="160"/>
      </w:pPr>
      <w:r>
        <w:rPr>
          <w:b w:val="false"/>
          <w:bCs w:val="false"/>
          <w:i w:val="false"/>
          <w:iCs w:val="false"/>
          <w:sz w:val="22"/>
          <w:szCs w:val="22"/>
        </w:rPr>
        <w:t xml:space="preserve">• Volumen vs. cantidad de clientes activos: una caída de facturación por "volumen" podría deberse a menos unidades por venta, o a menos consultoras activas vendiendo, o a menos transacciones en total — son causas distintas con acciones distintas, y el dashboard actual no las distingue.</w:t>
      </w:r>
    </w:p>
    <w:p>
      <w:pPr>
        <w:spacing w:after="160"/>
      </w:pPr>
      <w:r>
        <w:rPr>
          <w:b w:val="false"/>
          <w:bCs w:val="false"/>
          <w:i w:val="false"/>
          <w:iCs w:val="false"/>
          <w:sz w:val="22"/>
          <w:szCs w:val="22"/>
        </w:rPr>
        <w:t xml:space="preserve">• Ausencia de contexto externo: no se consideró si hubo cambios de precios de proveedores, salida de algún producto de catálogo, o factores macro (inflación, poder adquisitivo) que expliquen la caída sin que sea un problema interno del negocio.</w:t>
      </w:r>
    </w:p>
    <w:p/>
    <w:p>
      <w:pPr>
        <w:pStyle w:val="Heading2"/>
      </w:pPr>
      <w:r>
        <w:t xml:space="preserve">4. Refinamiento aplicado al dashboard</w:t>
      </w:r>
    </w:p>
    <w:p>
      <w:pPr>
        <w:spacing w:after="160"/>
      </w:pPr>
      <w:r>
        <w:rPr>
          <w:b w:val="false"/>
          <w:bCs w:val="false"/>
          <w:i w:val="false"/>
          <w:iCs w:val="false"/>
          <w:sz w:val="22"/>
          <w:szCs w:val="22"/>
        </w:rPr>
        <w:t xml:space="preserve">A partir de este feedback, se ajustó el dashboard de la siguiente manera:</w:t>
      </w:r>
    </w:p>
    <w:p>
      <w:pPr>
        <w:spacing w:after="160"/>
      </w:pPr>
      <w:r>
        <w:rPr>
          <w:b w:val="false"/>
          <w:bCs w:val="false"/>
          <w:i w:val="false"/>
          <w:iCs w:val="false"/>
          <w:sz w:val="22"/>
          <w:szCs w:val="22"/>
        </w:rPr>
        <w:t xml:space="preserve">• Se agregó una nota aclaratoria en la tarjeta de "Crecimiento H2 vs H1" indicando explícitamente que sustituye a un crecimiento YoY real (no hay datos de 2025 para comparar), para que quien lea el dashboard no confunda esta métrica con una comparación interanual estacionalmente ajustada.</w:t>
      </w:r>
    </w:p>
    <w:p>
      <w:pPr>
        <w:spacing w:after="160"/>
      </w:pPr>
      <w:r>
        <w:rPr>
          <w:b w:val="false"/>
          <w:bCs w:val="false"/>
          <w:i w:val="false"/>
          <w:iCs w:val="false"/>
          <w:sz w:val="22"/>
          <w:szCs w:val="22"/>
        </w:rPr>
        <w:t xml:space="preserve">• El título narrativo del dashboard se dejó como fórmula dinámica (no texto fijo), para que se actualice solo si al cargar más datos (por ejemplo, un 2027) la tendencia cambia de signo.</w:t>
      </w:r>
    </w:p>
    <w:p>
      <w:pPr>
        <w:spacing w:after="160"/>
      </w:pPr>
      <w:r>
        <w:rPr>
          <w:b w:val="false"/>
          <w:bCs w:val="false"/>
          <w:i w:val="false"/>
          <w:iCs w:val="false"/>
          <w:sz w:val="22"/>
          <w:szCs w:val="22"/>
        </w:rPr>
        <w:t xml:space="preserve">• Queda pendiente como mejora futura (fuera del alcance de este checkpoint): desglosar el margen mes a mes en vez de solo como promedio anual, y agregar una serie de "cantidad de transacciones" para distinguir caída de volumen por unidad vs. caída por menor actividad comercial.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2026-09-15T00:51:37.497Z</dcterms:created>
  <dcterms:modified xsi:type="dcterms:W3CDTF">2026-09-15T00:51:37.507Z</dcterms:modified>
</cp:coreProperties>
</file>

<file path=docProps/custom.xml><?xml version="1.0" encoding="utf-8"?>
<Properties xmlns="http://schemas.openxmlformats.org/officeDocument/2006/custom-properties" xmlns:vt="http://schemas.openxmlformats.org/officeDocument/2006/docPropsVTypes"/>
</file>