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Last updated: 17-Apr-2026 18:00 AEST</w:t>
      </w:r>
    </w:p>
    <w:bookmarkStart w:id="55" w:name="X62c488e9beab42c3cff0839af8817517ca598ca"/>
    <w:p>
      <w:pPr>
        <w:pStyle w:val="Heading1"/>
      </w:pPr>
      <w:r>
        <w:t xml:space="preserve">LA28 Media Registration Portal — Open Questions for Stakeholders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2026-04-11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D.TEC (Ken / DTEC)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IOC Media Operations (Emma / IOC OIS), LA28 Accreditation Lead</w:t>
      </w:r>
      <w:r>
        <w:t xml:space="preserve"> </w:t>
      </w:r>
      <w:r>
        <w:t xml:space="preserve">(Martyn / OCOG)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Confirm, choose, or discuss the items below so we can</w:t>
      </w:r>
      <w:r>
        <w:t xml:space="preserve"> </w:t>
      </w:r>
      <w:r>
        <w:t xml:space="preserve">finalise the portal design before the August 24 launch.</w:t>
      </w:r>
    </w:p>
    <w:p>
      <w:pPr>
        <w:pStyle w:val="BodyText"/>
      </w:pPr>
      <w:r>
        <w:rPr>
          <w:b/>
          <w:bCs/>
        </w:rPr>
        <w:t xml:space="preserve">How to use this document:</w:t>
      </w:r>
      <w:r>
        <w:t xml:space="preserve"> </w:t>
      </w:r>
      <w:r>
        <w:t xml:space="preserve">Each item describes a real scenario that</w:t>
      </w:r>
      <w:r>
        <w:t xml:space="preserve"> </w:t>
      </w:r>
      <w:r>
        <w:t xml:space="preserve">will happen in the portal, explains what we’ve built or plan to build,</w:t>
      </w:r>
      <w:r>
        <w:t xml:space="preserve"> </w:t>
      </w:r>
      <w:r>
        <w:t xml:space="preserve">and asks for your input. Items marked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have a working</w:t>
      </w:r>
      <w:r>
        <w:t xml:space="preserve"> </w:t>
      </w:r>
      <w:r>
        <w:t xml:space="preserve">default — we’ll keep it unless you tell us otherwise. Items marked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need a decision before we can build.</w:t>
      </w:r>
    </w:p>
    <w:p>
      <w:pPr>
        <w:pStyle w:val="BlockText"/>
      </w:pPr>
      <w:r>
        <w:rPr>
          <w:b/>
          <w:bCs/>
        </w:rPr>
        <w:t xml:space="preserve">IOC feedback received 2026-04-02:</w:t>
      </w:r>
      <w:r>
        <w:t xml:space="preserve"> </w:t>
      </w:r>
      <w:r>
        <w:t xml:space="preserve">Emma Morris (IOC Media</w:t>
      </w:r>
      <w:r>
        <w:t xml:space="preserve"> </w:t>
      </w:r>
      <w:r>
        <w:t xml:space="preserve">Operations) has reviewed the design confirmation document and provided</w:t>
      </w:r>
      <w:r>
        <w:t xml:space="preserve"> </w:t>
      </w:r>
      <w:r>
        <w:t xml:space="preserve">29 inline comments plus written feedback. Key themes from that review</w:t>
      </w:r>
      <w:r>
        <w:t xml:space="preserve"> </w:t>
      </w:r>
      <w:r>
        <w:t xml:space="preserve">are reflected throughout this document. Items updated or added based</w:t>
      </w:r>
      <w:r>
        <w:t xml:space="preserve"> </w:t>
      </w:r>
      <w:r>
        <w:t xml:space="preserve">on Emma’s feedback are marked [EM 2026-04-02] in their description</w:t>
      </w:r>
      <w:r>
        <w:t xml:space="preserve"> </w:t>
      </w:r>
      <w:r>
        <w:t xml:space="preserve">where applicable.</w:t>
      </w:r>
    </w:p>
    <w:p>
      <w:pPr>
        <w:pStyle w:val="FirstParagraph"/>
      </w:pPr>
      <w:r>
        <w:rPr>
          <w:b/>
          <w:bCs/>
        </w:rPr>
        <w:t xml:space="preserve">Where NOC input would help:</w:t>
      </w:r>
      <w:r>
        <w:t xml:space="preserve"> </w:t>
      </w:r>
      <w:r>
        <w:t xml:space="preserve">Some questions affect how NOC</w:t>
      </w:r>
      <w:r>
        <w:t xml:space="preserve"> </w:t>
      </w:r>
      <w:r>
        <w:t xml:space="preserve">administrators experience the portal day-to-day. We’ve flagged these —</w:t>
      </w:r>
      <w:r>
        <w:t xml:space="preserve"> </w:t>
      </w:r>
      <w:r>
        <w:t xml:space="preserve">you may want to run them past 2–3 NOC representatives (ideally one</w:t>
      </w:r>
      <w:r>
        <w:t xml:space="preserve"> </w:t>
      </w:r>
      <w:r>
        <w:t xml:space="preserve">large territory like USA/GBR/FRA and one smaller territory) to validate</w:t>
      </w:r>
      <w:r>
        <w:t xml:space="preserve"> </w:t>
      </w:r>
      <w:r>
        <w:t xml:space="preserve">that the workflow makes sense from their side.</w:t>
      </w:r>
    </w:p>
    <w:p>
      <w:pPr>
        <w:pStyle w:val="BodyText"/>
      </w:pPr>
      <w:r>
        <w:rPr>
          <w:b/>
          <w:bCs/>
        </w:rPr>
        <w:t xml:space="preserve">A note on roles:</w:t>
      </w:r>
      <w:r>
        <w:t xml:space="preserve"> </w:t>
      </w:r>
      <w:r>
        <w:t xml:space="preserve">Throughout this document, please keep in mind the</w:t>
      </w:r>
      <w:r>
        <w:t xml:space="preserve"> </w:t>
      </w:r>
      <w:r>
        <w:t xml:space="preserve">general role boundaries: -</w:t>
      </w:r>
      <w:r>
        <w:t xml:space="preserve"> </w:t>
      </w:r>
      <w:r>
        <w:rPr>
          <w:b/>
          <w:bCs/>
        </w:rPr>
        <w:t xml:space="preserve">OCOG (LA28)</w:t>
      </w:r>
      <w:r>
        <w:t xml:space="preserve"> </w:t>
      </w:r>
      <w:r>
        <w:t xml:space="preserve">is the primary review and</w:t>
      </w:r>
      <w:r>
        <w:t xml:space="preserve"> </w:t>
      </w:r>
      <w:r>
        <w:t xml:space="preserve">approval authority for most workflows — EoI visibility across NOCs,</w:t>
      </w:r>
      <w:r>
        <w:t xml:space="preserve"> </w:t>
      </w:r>
      <w:r>
        <w:t xml:space="preserve">PbN formal approval, and cross-NOC oversight. -</w:t>
      </w:r>
      <w:r>
        <w:t xml:space="preserve"> </w:t>
      </w:r>
      <w:r>
        <w:rPr>
          <w:b/>
          <w:bCs/>
        </w:rPr>
        <w:t xml:space="preserve">IOC</w:t>
      </w:r>
      <w:r>
        <w:t xml:space="preserve"> </w:t>
      </w:r>
      <w:r>
        <w:t xml:space="preserve">oversees the</w:t>
      </w:r>
      <w:r>
        <w:t xml:space="preserve"> </w:t>
      </w:r>
      <w:r>
        <w:t xml:space="preserve">process but generally does not approve — with specific carved-out</w:t>
      </w:r>
      <w:r>
        <w:t xml:space="preserve"> </w:t>
      </w:r>
      <w:r>
        <w:t xml:space="preserve">exceptions: ENR grants from the holdback pool, IOC-Direct reserved</w:t>
      </w:r>
      <w:r>
        <w:t xml:space="preserve"> </w:t>
      </w:r>
      <w:r>
        <w:t xml:space="preserve">organisations, and setting per-category quota totals. -</w:t>
      </w:r>
      <w:r>
        <w:t xml:space="preserve"> </w:t>
      </w:r>
      <w:r>
        <w:rPr>
          <w:b/>
          <w:bCs/>
        </w:rPr>
        <w:t xml:space="preserve">NOC</w:t>
      </w:r>
      <w:r>
        <w:t xml:space="preserve"> </w:t>
      </w:r>
      <w:r>
        <w:t xml:space="preserve">owns</w:t>
      </w:r>
      <w:r>
        <w:t xml:space="preserve"> </w:t>
      </w:r>
      <w:r>
        <w:t xml:space="preserve">their territory’s EoI review and PbN slot allocation.</w:t>
      </w:r>
    </w:p>
    <w:p>
      <w:pPr>
        <w:pStyle w:val="BodyText"/>
      </w:pPr>
      <w:r>
        <w:rPr>
          <w:b/>
          <w:bCs/>
        </w:rPr>
        <w:t xml:space="preserve">Terminology note [EM 2026-04-02]:</w:t>
      </w:r>
      <w:r>
        <w:t xml:space="preserve"> </w:t>
      </w:r>
      <w:r>
        <w:t xml:space="preserve">Emma Morris (IOC) requests that</w:t>
      </w:r>
      <w:r>
        <w:t xml:space="preserve"> </w:t>
      </w:r>
      <w:r>
        <w:t xml:space="preserve">the term</w:t>
      </w:r>
      <w:r>
        <w:t xml:space="preserve"> </w:t>
      </w:r>
      <w:r>
        <w:rPr>
          <w:b/>
          <w:bCs/>
        </w:rPr>
        <w:t xml:space="preserve">“Responsible Organisation”</w:t>
      </w:r>
      <w:r>
        <w:t xml:space="preserve"> </w:t>
      </w:r>
      <w:r>
        <w:t xml:space="preserve">be used instead of</w:t>
      </w:r>
      <w:r>
        <w:t xml:space="preserve"> </w:t>
      </w:r>
      <w:r>
        <w:t xml:space="preserve">“sponsoring</w:t>
      </w:r>
      <w:r>
        <w:t xml:space="preserve"> </w:t>
      </w:r>
      <w:r>
        <w:t xml:space="preserve">organisation”</w:t>
      </w:r>
      <w:r>
        <w:t xml:space="preserve"> </w:t>
      </w:r>
      <w:r>
        <w:t xml:space="preserve">throughout the portal and documentation. This applies</w:t>
      </w:r>
      <w:r>
        <w:t xml:space="preserve"> </w:t>
      </w:r>
      <w:r>
        <w:t xml:space="preserve">wherever we previously described one organisation as</w:t>
      </w:r>
      <w:r>
        <w:t xml:space="preserve"> </w:t>
      </w:r>
      <w:r>
        <w:t xml:space="preserve">“sponsoring”</w:t>
      </w:r>
      <w:r>
        <w:t xml:space="preserve"> </w:t>
      </w:r>
      <w:r>
        <w:t xml:space="preserve">or</w:t>
      </w:r>
      <w:r>
        <w:t xml:space="preserve"> </w:t>
      </w:r>
      <w:r>
        <w:t xml:space="preserve">acting as the owning body for another, particularly in the IOC-Direct</w:t>
      </w:r>
      <w:r>
        <w:t xml:space="preserve"> </w:t>
      </w:r>
      <w:r>
        <w:t xml:space="preserve">context.</w:t>
      </w:r>
    </w:p>
    <w:bookmarkStart w:id="14" w:name="X7b622cad3da59db228dc559ad8752f6e80a177f"/>
    <w:p>
      <w:pPr>
        <w:pStyle w:val="Heading2"/>
      </w:pPr>
      <w:r>
        <w:t xml:space="preserve">1. Expression of Interest (EoI) — The Public Application Process</w:t>
      </w:r>
    </w:p>
    <w:p>
      <w:pPr>
        <w:pStyle w:val="FirstParagraph"/>
      </w:pPr>
      <w:r>
        <w:t xml:space="preserve">These questions relate to the public-facing form that media</w:t>
      </w:r>
      <w:r>
        <w:t xml:space="preserve"> </w:t>
      </w:r>
      <w:r>
        <w:t xml:space="preserve">organisations use to apply for press accreditation through their NOC.</w:t>
      </w:r>
    </w:p>
    <w:bookmarkStart w:id="9" w:name="eoi-form-fields-final-list"/>
    <w:p>
      <w:pPr>
        <w:pStyle w:val="Heading3"/>
      </w:pPr>
      <w:r>
        <w:t xml:space="preserve">1.1 EoI Form Fields — Final List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journalist at a news agency in Brazil opens the portal</w:t>
      </w:r>
      <w:r>
        <w:t xml:space="preserve"> </w:t>
      </w:r>
      <w:r>
        <w:t xml:space="preserve">and fills out the EoI form. The form currently has five sections:</w:t>
      </w:r>
      <w:r>
        <w:t xml:space="preserve"> </w:t>
      </w:r>
      <w:r>
        <w:t xml:space="preserve">Organisation details (name, type, country, website, address), Contacts</w:t>
      </w:r>
      <w:r>
        <w:t xml:space="preserve"> </w:t>
      </w:r>
      <w:r>
        <w:t xml:space="preserve">(primary + optional secondary), Accreditation categories</w:t>
      </w:r>
      <w:r>
        <w:t xml:space="preserve"> </w:t>
      </w:r>
      <w:r>
        <w:t xml:space="preserve">(E/Es/EP/EPs/ET/EC with requested quantities), Publication details</w:t>
      </w:r>
      <w:r>
        <w:t xml:space="preserve"> </w:t>
      </w:r>
      <w:r>
        <w:t xml:space="preserve">(type, circulation, frequency, sports), and History (prior</w:t>
      </w:r>
      <w:r>
        <w:t xml:space="preserve"> </w:t>
      </w:r>
      <w:r>
        <w:t xml:space="preserve">Olympic/Paralympic accreditation, past coverage examples).</w:t>
      </w:r>
    </w:p>
    <w:p>
      <w:pPr>
        <w:pStyle w:val="BodyText"/>
      </w:pPr>
      <w:r>
        <w:t xml:space="preserve">We built these fields based on the USOPC EoI form and our stakeholder</w:t>
      </w:r>
      <w:r>
        <w:t xml:space="preserve"> </w:t>
      </w:r>
      <w:r>
        <w:t xml:space="preserve">interviews. However, the IOC or OCOG may require additional fields —</w:t>
      </w:r>
      <w:r>
        <w:t xml:space="preserve"> </w:t>
      </w:r>
      <w:r>
        <w:t xml:space="preserve">for example, media accreditation numbers from prior Games, ISSN numbers,</w:t>
      </w:r>
      <w:r>
        <w:t xml:space="preserve"> </w:t>
      </w:r>
      <w:r>
        <w:t xml:space="preserve">or specific affiliation details.</w:t>
      </w:r>
    </w:p>
    <w:p>
      <w:pPr>
        <w:pStyle w:val="BodyText"/>
      </w:pPr>
      <w:r>
        <w:t xml:space="preserve">A related question: different NOCs may want to ask applicants slightly</w:t>
      </w:r>
      <w:r>
        <w:t xml:space="preserve"> </w:t>
      </w:r>
      <w:r>
        <w:t xml:space="preserve">different things. Rather than building per-NOC custom forms, we could</w:t>
      </w:r>
      <w:r>
        <w:t xml:space="preserve"> </w:t>
      </w:r>
      <w:r>
        <w:t xml:space="preserve">offer a small number of configurable</w:t>
      </w:r>
      <w:r>
        <w:t xml:space="preserve"> </w:t>
      </w:r>
      <w:r>
        <w:t xml:space="preserve">“free-form fields”</w:t>
      </w:r>
      <w:r>
        <w:t xml:space="preserve"> </w:t>
      </w:r>
      <w:r>
        <w:t xml:space="preserve">that each NOC</w:t>
      </w:r>
      <w:r>
        <w:t xml:space="preserve"> </w:t>
      </w:r>
      <w:r>
        <w:t xml:space="preserve">can label and use as they see fit — for example,</w:t>
      </w:r>
      <w:r>
        <w:t xml:space="preserve"> </w:t>
      </w:r>
      <w:r>
        <w:t xml:space="preserve">“NOC-specific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“Additional information your NOC has requested.”</w:t>
      </w:r>
      <w:r>
        <w:t xml:space="preserve"> </w:t>
      </w:r>
      <w:r>
        <w:t xml:space="preserve">This would keep the</w:t>
      </w:r>
      <w:r>
        <w:t xml:space="preserve"> </w:t>
      </w:r>
      <w:r>
        <w:t xml:space="preserve">core form standardised while giving NOCs flexibility.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current field list as implemented stands. One</w:t>
      </w:r>
      <w:r>
        <w:t xml:space="preserve"> </w:t>
      </w:r>
      <w:r>
        <w:t xml:space="preserve">generic multi-line</w:t>
      </w:r>
      <w:r>
        <w:t xml:space="preserve"> </w:t>
      </w:r>
      <w:r>
        <w:t xml:space="preserve">“Additional information requested by your NOC”</w:t>
      </w:r>
      <w:r>
        <w:t xml:space="preserve"> </w:t>
      </w:r>
      <w:r>
        <w:t xml:space="preserve">free-text field will be added to the form (Publication Details or</w:t>
      </w:r>
      <w:r>
        <w:t xml:space="preserve"> </w:t>
      </w:r>
      <w:r>
        <w:t xml:space="preserve">History tab) if not already present. Full per-NOC field configuration is</w:t>
      </w:r>
      <w:r>
        <w:t xml:space="preserve"> </w:t>
      </w:r>
      <w:r>
        <w:t xml:space="preserve">deferred to post-LA28. Terminology:</w:t>
      </w:r>
      <w:r>
        <w:t xml:space="preserve"> </w:t>
      </w:r>
      <w:r>
        <w:t xml:space="preserve">“Responsible Organisation”</w:t>
      </w:r>
      <w:r>
        <w:t xml:space="preserve"> </w:t>
      </w:r>
      <w:r>
        <w:t xml:space="preserve">(RO)</w:t>
      </w:r>
      <w:r>
        <w:t xml:space="preserve"> </w:t>
      </w:r>
      <w:r>
        <w:t xml:space="preserve">replaces</w:t>
      </w:r>
      <w:r>
        <w:t xml:space="preserve"> </w:t>
      </w:r>
      <w:r>
        <w:t xml:space="preserve">“sponsoring organisation”</w:t>
      </w:r>
      <w:r>
        <w:t xml:space="preserve"> </w:t>
      </w:r>
      <w:r>
        <w:t xml:space="preserve">in IOC-Direct contexts only;</w:t>
      </w:r>
      <w:r>
        <w:t xml:space="preserve"> </w:t>
      </w:r>
      <w:r>
        <w:t xml:space="preserve">“NOC”</w:t>
      </w:r>
      <w:r>
        <w:t xml:space="preserve"> </w:t>
      </w:r>
      <w:r>
        <w:t xml:space="preserve">remains correct elsewhere.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Applicant (media organisations), NOC Admin (reviews</w:t>
      </w:r>
      <w:r>
        <w:t xml:space="preserve"> </w:t>
      </w:r>
      <w:r>
        <w:t xml:space="preserve">what applicants submit), OCOG Admin (cross-NOC visibility), IOC Admin</w:t>
      </w:r>
      <w:r>
        <w:t xml:space="preserve"> </w:t>
      </w:r>
      <w:r>
        <w:t xml:space="preserve">(cross-RO-visibility)</w:t>
      </w:r>
    </w:p>
    <w:bookmarkEnd w:id="9"/>
    <w:bookmarkStart w:id="10" w:name="Xdc922a544bb6eb4bdee96c42fcb57c091ad5c1c"/>
    <w:p>
      <w:pPr>
        <w:pStyle w:val="Heading3"/>
      </w:pPr>
      <w:r>
        <w:t xml:space="preserve">1.2 Sport-Specific Categories (Es / EPs) — Free Text vs. Dropdown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already implemented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photographer who specialises in swimming selects the</w:t>
      </w:r>
      <w:r>
        <w:t xml:space="preserve"> </w:t>
      </w:r>
      <w:r>
        <w:t xml:space="preserve">“EPs — Sport-specific photographer”</w:t>
      </w:r>
      <w:r>
        <w:t xml:space="preserve"> </w:t>
      </w:r>
      <w:r>
        <w:t xml:space="preserve">category on the EoI form. The form</w:t>
      </w:r>
      <w:r>
        <w:t xml:space="preserve"> </w:t>
      </w:r>
      <w:r>
        <w:t xml:space="preserve">currently asks them to describe the sports they plan to cover in a</w:t>
      </w:r>
      <w:r>
        <w:t xml:space="preserve"> </w:t>
      </w:r>
      <w:r>
        <w:t xml:space="preserve">free-text field (</w:t>
      </w:r>
      <w:r>
        <w:t xml:space="preserve">“Which sports do you plan to cover at LA 2028?”</w:t>
      </w:r>
      <w:r>
        <w:t xml:space="preserve">). There</w:t>
      </w:r>
      <w:r>
        <w:t xml:space="preserve"> </w:t>
      </w:r>
      <w:r>
        <w:t xml:space="preserve">is no dropdown list of IOC-recognised sports.</w:t>
      </w:r>
    </w:p>
    <w:p>
      <w:pPr>
        <w:pStyle w:val="BodyText"/>
      </w:pPr>
      <w:r>
        <w:rPr>
          <w:b/>
          <w:bCs/>
        </w:rPr>
        <w:t xml:space="preserve">Our provisional decision:</w:t>
      </w:r>
      <w:r>
        <w:t xml:space="preserve"> </w:t>
      </w:r>
      <w:r>
        <w:t xml:space="preserve">Free text. It’s simpler and flexible —</w:t>
      </w:r>
      <w:r>
        <w:t xml:space="preserve"> </w:t>
      </w:r>
      <w:r>
        <w:t xml:space="preserve">applicants can describe niche coverage (e.g.,</w:t>
      </w:r>
      <w:r>
        <w:t xml:space="preserve"> </w:t>
      </w:r>
      <w:r>
        <w:t xml:space="preserve">“artistic swimming and</w:t>
      </w:r>
      <w:r>
        <w:t xml:space="preserve"> </w:t>
      </w:r>
      <w:r>
        <w:t xml:space="preserve">water polo”</w:t>
      </w:r>
      <w:r>
        <w:t xml:space="preserve">) without being constrained to a single-sport selection.</w:t>
      </w:r>
    </w:p>
    <w:p>
      <w:pPr>
        <w:pStyle w:val="BodyText"/>
      </w:pPr>
      <w:r>
        <w:rPr>
          <w:b/>
          <w:bCs/>
        </w:rPr>
        <w:t xml:space="preserve">Alternative:</w:t>
      </w:r>
      <w:r>
        <w:t xml:space="preserve"> </w:t>
      </w:r>
      <w:r>
        <w:t xml:space="preserve">A structured dropdown of the 32 LA28 sports. This would</w:t>
      </w:r>
      <w:r>
        <w:t xml:space="preserve"> </w:t>
      </w:r>
      <w:r>
        <w:t xml:space="preserve">make it easier for NOCs and the OCOG to filter and report by sport, but</w:t>
      </w:r>
      <w:r>
        <w:t xml:space="preserve"> </w:t>
      </w:r>
      <w:r>
        <w:t xml:space="preserve">forces applicants into a single-sport selection that may not reflect</w:t>
      </w:r>
      <w:r>
        <w:t xml:space="preserve"> </w:t>
      </w:r>
      <w:r>
        <w:t xml:space="preserve">their actual coverage.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A structured dropdown of 36 LA28 sports (at sport level,</w:t>
      </w:r>
      <w:r>
        <w:t xml:space="preserve"> </w:t>
      </w:r>
      <w:r>
        <w:t xml:space="preserve">not discipline level) is already implemented. The dropdown appears when</w:t>
      </w:r>
      <w:r>
        <w:t xml:space="preserve"> </w:t>
      </w:r>
      <w:r>
        <w:t xml:space="preserve">Es or EPs is selected on the EoI form and is single-select. This matches</w:t>
      </w:r>
      <w:r>
        <w:t xml:space="preserve"> </w:t>
      </w:r>
      <w:r>
        <w:t xml:space="preserve">Martyn’s recommendation.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Applicant, NOC Admin (filters applications by</w:t>
      </w:r>
      <w:r>
        <w:t xml:space="preserve"> </w:t>
      </w:r>
      <w:r>
        <w:t xml:space="preserve">sport), OCOG Admin (reporting)</w:t>
      </w:r>
    </w:p>
    <w:bookmarkEnd w:id="10"/>
    <w:bookmarkStart w:id="11" w:name="Xadc81f0c61b0c333f417e4278bdab986554c029"/>
    <w:p>
      <w:pPr>
        <w:pStyle w:val="Heading3"/>
      </w:pPr>
      <w:r>
        <w:t xml:space="preserve">1.3 EoI Window — Who Controls When Applications Open and Close?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implementation required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The global EoI window is scheduled to open August 24, 2026</w:t>
      </w:r>
      <w:r>
        <w:t xml:space="preserve"> </w:t>
      </w:r>
      <w:r>
        <w:t xml:space="preserve">and close October 23, 2026. In the portal, each NOC can independently</w:t>
      </w:r>
      <w:r>
        <w:t xml:space="preserve"> </w:t>
      </w:r>
      <w:r>
        <w:t xml:space="preserve">open or close their own EoI acceptance window. For example, the USA NOC</w:t>
      </w:r>
      <w:r>
        <w:t xml:space="preserve"> </w:t>
      </w:r>
      <w:r>
        <w:t xml:space="preserve">might close their window a week early because they’ve received enough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Today, only the NOC admin for that territory can toggle their own</w:t>
      </w:r>
      <w:r>
        <w:t xml:space="preserve"> </w:t>
      </w:r>
      <w:r>
        <w:t xml:space="preserve">window. When a NOC’s window is closed, applicants who try to submit see</w:t>
      </w:r>
      <w:r>
        <w:t xml:space="preserve"> </w:t>
      </w:r>
      <w:r>
        <w:t xml:space="preserve">a message:</w:t>
      </w:r>
      <w:r>
        <w:t xml:space="preserve"> </w:t>
      </w:r>
      <w:r>
        <w:t xml:space="preserve">“This NOC has closed its Expression of Interest window. New</w:t>
      </w:r>
      <w:r>
        <w:t xml:space="preserve"> </w:t>
      </w:r>
      <w:r>
        <w:t xml:space="preserve">applications are not currently being accepted.”</w:t>
      </w:r>
    </w:p>
    <w:p>
      <w:pPr>
        <w:pStyle w:val="BodyText"/>
      </w:pPr>
      <w:r>
        <w:rPr>
          <w:b/>
          <w:bCs/>
        </w:rPr>
        <w:t xml:space="preserve">Our assumption:</w:t>
      </w:r>
      <w:r>
        <w:t xml:space="preserve"> </w:t>
      </w:r>
      <w:r>
        <w:t xml:space="preserve">The OCOG controls the global dates (when the overall</w:t>
      </w:r>
      <w:r>
        <w:t xml:space="preserve"> </w:t>
      </w:r>
      <w:r>
        <w:t xml:space="preserve">window opens and closes), and can override individual NOC windows if</w:t>
      </w:r>
      <w:r>
        <w:t xml:space="preserve"> </w:t>
      </w:r>
      <w:r>
        <w:t xml:space="preserve">needed. The IOC has visibility into which NOCs have their windows open</w:t>
      </w:r>
      <w:r>
        <w:t xml:space="preserve"> </w:t>
      </w:r>
      <w:r>
        <w:t xml:space="preserve">or closed but does not directly control them.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Per-NOC window self-service control is removed from the</w:t>
      </w:r>
      <w:r>
        <w:t xml:space="preserve"> </w:t>
      </w:r>
      <w:r>
        <w:t xml:space="preserve">NOC admin interface. The OCOG sets one global EoI open/close date that</w:t>
      </w:r>
      <w:r>
        <w:t xml:space="preserve"> </w:t>
      </w:r>
      <w:r>
        <w:t xml:space="preserve">applies to all NOCs simultaneously. All windows auto-close at the global</w:t>
      </w:r>
      <w:r>
        <w:t xml:space="preserve"> </w:t>
      </w:r>
      <w:r>
        <w:t xml:space="preserve">deadline. When an applicant encounters a closed window, they see a</w:t>
      </w:r>
      <w:r>
        <w:t xml:space="preserve"> </w:t>
      </w:r>
      <w:r>
        <w:t xml:space="preserve">generic message directing them to contact their NOC.</w:t>
      </w:r>
    </w:p>
    <w:p>
      <w:pPr>
        <w:pStyle w:val="BodyText"/>
      </w:pPr>
      <w:r>
        <w:t xml:space="preserve">The invite route (NOC inviting specific orgs) remains open after the</w:t>
      </w:r>
      <w:r>
        <w:t xml:space="preserve"> </w:t>
      </w:r>
      <w:r>
        <w:t xml:space="preserve">global EoI deadline until the NOC’s PbN submission deadline. After PbN</w:t>
      </w:r>
      <w:r>
        <w:t xml:space="preserve"> </w:t>
      </w:r>
      <w:r>
        <w:t xml:space="preserve">close, no EoI intake of any kind is permitted.</w:t>
      </w:r>
    </w:p>
    <w:p>
      <w:pPr>
        <w:pStyle w:val="BodyText"/>
      </w:pPr>
      <w:r>
        <w:t xml:space="preserve">The OCOG retains the ability to selectively open or extend windows for</w:t>
      </w:r>
      <w:r>
        <w:t xml:space="preserve"> </w:t>
      </w:r>
      <w:r>
        <w:t xml:space="preserve">specific NOCs at the OCOG admin level (for pilot programmes and</w:t>
      </w:r>
      <w:r>
        <w:t xml:space="preserve"> </w:t>
      </w:r>
      <w:r>
        <w:t xml:space="preserve">exception handling).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(controls their window), OCOG Admin</w:t>
      </w:r>
      <w:r>
        <w:t xml:space="preserve"> </w:t>
      </w:r>
      <w:r>
        <w:t xml:space="preserve">(global oversight and override), Applicant (blocked when window is</w:t>
      </w:r>
      <w:r>
        <w:t xml:space="preserve"> </w:t>
      </w:r>
      <w:r>
        <w:t xml:space="preserve">closed)</w:t>
      </w:r>
      <w:r>
        <w:t xml:space="preserve"> </w:t>
      </w:r>
      <w:r>
        <w:rPr>
          <w:b/>
          <w:bCs/>
        </w:rPr>
        <w:t xml:space="preserve">NOC input recommended</w:t>
      </w:r>
      <w:r>
        <w:t xml:space="preserve"> </w:t>
      </w:r>
      <w:r>
        <w:t xml:space="preserve">— ask NOC representatives how they’d</w:t>
      </w:r>
      <w:r>
        <w:t xml:space="preserve"> </w:t>
      </w:r>
      <w:r>
        <w:t xml:space="preserve">want this to work in practice.</w:t>
      </w:r>
    </w:p>
    <w:bookmarkEnd w:id="11"/>
    <w:bookmarkStart w:id="12" w:name="X133c67e58c707c757ca301a4e89feca005cfd7b"/>
    <w:p>
      <w:pPr>
        <w:pStyle w:val="Heading3"/>
      </w:pPr>
      <w:r>
        <w:t xml:space="preserve">1.4 Freelancers — Do We Need to See Them as a Group?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PROVISIONAL — each freelancer is an independent org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freelance sports photographer in Italy applies for</w:t>
      </w:r>
      <w:r>
        <w:t xml:space="preserve"> </w:t>
      </w:r>
      <w:r>
        <w:t xml:space="preserve">accreditation. They work independently — no employer, no agency. In</w:t>
      </w:r>
      <w:r>
        <w:t xml:space="preserve"> </w:t>
      </w:r>
      <w:r>
        <w:t xml:space="preserve">the portal, they create an</w:t>
      </w:r>
      <w:r>
        <w:t xml:space="preserve"> </w:t>
      </w:r>
      <w:r>
        <w:t xml:space="preserve">“organisation”</w:t>
      </w:r>
      <w:r>
        <w:t xml:space="preserve"> </w:t>
      </w:r>
      <w:r>
        <w:t xml:space="preserve">record that represents</w:t>
      </w:r>
      <w:r>
        <w:t xml:space="preserve"> </w:t>
      </w:r>
      <w:r>
        <w:t xml:space="preserve">themselves (an</w:t>
      </w:r>
      <w:r>
        <w:t xml:space="preserve"> </w:t>
      </w:r>
      <w:r>
        <w:t xml:space="preserve">“org of 1”</w:t>
      </w:r>
      <w:r>
        <w:t xml:space="preserve">). We flag them as a freelancer in the system.</w:t>
      </w:r>
      <w:r>
        <w:t xml:space="preserve"> </w:t>
      </w:r>
      <w:r>
        <w:t xml:space="preserve">Deduplication for freelancers uses name + country (not email domain,</w:t>
      </w:r>
      <w:r>
        <w:t xml:space="preserve"> </w:t>
      </w:r>
      <w:r>
        <w:t xml:space="preserve">since freelancers often use personal email).</w:t>
      </w:r>
    </w:p>
    <w:p>
      <w:pPr>
        <w:pStyle w:val="BodyText"/>
      </w:pPr>
      <w:r>
        <w:rPr>
          <w:b/>
          <w:bCs/>
        </w:rPr>
        <w:t xml:space="preserve">Our provisional decision:</w:t>
      </w:r>
      <w:r>
        <w:t xml:space="preserve"> </w:t>
      </w:r>
      <w:r>
        <w:t xml:space="preserve">Every freelancer is an independent org</w:t>
      </w:r>
      <w:r>
        <w:t xml:space="preserve"> </w:t>
      </w:r>
      <w:r>
        <w:t xml:space="preserve">record. There is no concept of freelancer collectives or group</w:t>
      </w:r>
      <w:r>
        <w:t xml:space="preserve"> </w:t>
      </w:r>
      <w:r>
        <w:t xml:space="preserve">applications.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Is there any scenario where the OCOG or a NOC needs to</w:t>
      </w:r>
      <w:r>
        <w:t xml:space="preserve"> </w:t>
      </w:r>
      <w:r>
        <w:t xml:space="preserve">view, filter, or act on freelancers as a group (e.g.,</w:t>
      </w:r>
      <w:r>
        <w:t xml:space="preserve"> </w:t>
      </w:r>
      <w:r>
        <w:t xml:space="preserve">“show me all</w:t>
      </w:r>
      <w:r>
        <w:t xml:space="preserve"> </w:t>
      </w:r>
      <w:r>
        <w:t xml:space="preserve">freelancers in this NOC territory”</w:t>
      </w:r>
      <w:r>
        <w:t xml:space="preserve"> </w:t>
      </w:r>
      <w:r>
        <w:t xml:space="preserve">or</w:t>
      </w:r>
      <w:r>
        <w:t xml:space="preserve"> </w:t>
      </w:r>
      <w:r>
        <w:t xml:space="preserve">“apply a different review standard</w:t>
      </w:r>
      <w:r>
        <w:t xml:space="preserve"> </w:t>
      </w:r>
      <w:r>
        <w:t xml:space="preserve">to freelancers”</w:t>
      </w:r>
      <w:r>
        <w:t xml:space="preserve">)? Or is reviewing them one at a time, just like any</w:t>
      </w:r>
      <w:r>
        <w:t xml:space="preserve"> </w:t>
      </w:r>
      <w:r>
        <w:t xml:space="preserve">other org, always sufficient?</w:t>
      </w:r>
    </w:p>
    <w:p>
      <w:pPr>
        <w:pStyle w:val="BodyText"/>
      </w:pPr>
      <w:r>
        <w:rPr>
          <w:b/>
          <w:bCs/>
        </w:rPr>
        <w:t xml:space="preserve">Additional open question:</w:t>
      </w:r>
      <w:r>
        <w:t xml:space="preserve"> </w:t>
      </w:r>
      <w:r>
        <w:t xml:space="preserve">Selecting</w:t>
      </w:r>
      <w:r>
        <w:t xml:space="preserve"> </w:t>
      </w:r>
      <w:r>
        <w:t xml:space="preserve">“freelancer”</w:t>
      </w:r>
      <w:r>
        <w:t xml:space="preserve"> </w:t>
      </w:r>
      <w:r>
        <w:t xml:space="preserve">as org type</w:t>
      </w:r>
      <w:r>
        <w:t xml:space="preserve"> </w:t>
      </w:r>
      <w:r>
        <w:t xml:space="preserve">collapses the media-type signal — the system cannot distinguish a</w:t>
      </w:r>
      <w:r>
        <w:t xml:space="preserve"> </w:t>
      </w:r>
      <w:r>
        <w:t xml:space="preserve">freelance print journalist from a freelance broadcaster or photographer.</w:t>
      </w:r>
      <w:r>
        <w:t xml:space="preserve"> </w:t>
      </w:r>
      <w:r>
        <w:t xml:space="preserve">Option A: add a secondary media-type selector that appears when</w:t>
      </w:r>
      <w:r>
        <w:t xml:space="preserve"> </w:t>
      </w:r>
      <w:r>
        <w:t xml:space="preserve">“freelancer”</w:t>
      </w:r>
      <w:r>
        <w:t xml:space="preserve"> </w:t>
      </w:r>
      <w:r>
        <w:t xml:space="preserve">is chosen. Option B: accept this limitation (freelancers</w:t>
      </w:r>
      <w:r>
        <w:t xml:space="preserve"> </w:t>
      </w:r>
      <w:r>
        <w:t xml:space="preserve">are predominantly print/online). Stakeholder input needed on whether</w:t>
      </w:r>
      <w:r>
        <w:t xml:space="preserve"> </w:t>
      </w:r>
      <w:r>
        <w:t xml:space="preserve">this distinction matters for accreditation category decisions.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Applicant (freelancers), NOC Admin (reviews</w:t>
      </w:r>
      <w:r>
        <w:t xml:space="preserve"> </w:t>
      </w:r>
      <w:r>
        <w:t xml:space="preserve">freelancer applications), OCOG Admin (cross-NOC visibility)</w:t>
      </w:r>
      <w:r>
        <w:t xml:space="preserve"> </w:t>
      </w:r>
      <w:r>
        <w:rPr>
          <w:b/>
          <w:bCs/>
        </w:rPr>
        <w:t xml:space="preserve">NOC input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— large NOCs likely deal with freelancer applications</w:t>
      </w:r>
      <w:r>
        <w:t xml:space="preserve"> </w:t>
      </w:r>
      <w:r>
        <w:t xml:space="preserve">regularly.</w:t>
      </w:r>
    </w:p>
    <w:bookmarkEnd w:id="12"/>
    <w:bookmarkStart w:id="13" w:name="noc-fast-track-entry-governance"/>
    <w:p>
      <w:pPr>
        <w:pStyle w:val="Heading3"/>
      </w:pPr>
      <w:r>
        <w:t xml:space="preserve">1.5 NOC Fast-Track Entry — Governance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already implemented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The press officer at the German NOC knows that Deutsche</w:t>
      </w:r>
      <w:r>
        <w:t xml:space="preserve"> </w:t>
      </w:r>
      <w:r>
        <w:t xml:space="preserve">Presse-Agentur (DPA) will apply — they’ve been accredited at every</w:t>
      </w:r>
      <w:r>
        <w:t xml:space="preserve"> </w:t>
      </w:r>
      <w:r>
        <w:t xml:space="preserve">Games for 30 years. Rather than waiting for DPA to discover the portal,</w:t>
      </w:r>
      <w:r>
        <w:t xml:space="preserve"> </w:t>
      </w:r>
      <w:r>
        <w:t xml:space="preserve">fill out the form, and go through email verification, the NOC admin</w:t>
      </w:r>
      <w:r>
        <w:t xml:space="preserve"> </w:t>
      </w:r>
      <w:r>
        <w:t xml:space="preserve">enters DPA’s details directly through a</w:t>
      </w:r>
      <w:r>
        <w:t xml:space="preserve"> </w:t>
      </w:r>
      <w:r>
        <w:t xml:space="preserve">“fast-track”</w:t>
      </w:r>
      <w:r>
        <w:t xml:space="preserve"> </w:t>
      </w:r>
      <w:r>
        <w:t xml:space="preserve">route. The</w:t>
      </w:r>
      <w:r>
        <w:t xml:space="preserve"> </w:t>
      </w:r>
      <w:r>
        <w:t xml:space="preserve">application is created pre-approved and immediately eligible for PbN</w:t>
      </w:r>
      <w:r>
        <w:t xml:space="preserve"> </w:t>
      </w:r>
      <w:r>
        <w:t xml:space="preserve">slot allocation.</w:t>
      </w:r>
    </w:p>
    <w:p>
      <w:pPr>
        <w:pStyle w:val="BodyText"/>
      </w:pPr>
      <w:r>
        <w:t xml:space="preserve">Fast-track entry collects a subset of the full EoI form — only the</w:t>
      </w:r>
      <w:r>
        <w:t xml:space="preserve"> </w:t>
      </w:r>
      <w:r>
        <w:t xml:space="preserve">essential fields (org name, type, country, category selection, contact</w:t>
      </w:r>
      <w:r>
        <w:t xml:space="preserve"> </w:t>
      </w:r>
      <w:r>
        <w:t xml:space="preserve">details). Fields like publication history, circulation, and prior</w:t>
      </w:r>
      <w:r>
        <w:t xml:space="preserve"> </w:t>
      </w:r>
      <w:r>
        <w:t xml:space="preserve">accreditation details are not required, since the NOC already knows this</w:t>
      </w:r>
      <w:r>
        <w:t xml:space="preserve"> </w:t>
      </w:r>
      <w:r>
        <w:t xml:space="preserve">organisation. The full EoI form remains available if the NOC wants the</w:t>
      </w:r>
      <w:r>
        <w:t xml:space="preserve"> </w:t>
      </w:r>
      <w:r>
        <w:t xml:space="preserve">org to submit a complete application through the public route instead.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feature has been renamed from</w:t>
      </w:r>
      <w:r>
        <w:t xml:space="preserve"> </w:t>
      </w:r>
      <w:r>
        <w:t xml:space="preserve">“Fast-Track Entry”</w:t>
      </w:r>
      <w:r>
        <w:t xml:space="preserve"> </w:t>
      </w:r>
      <w:r>
        <w:t xml:space="preserve">to</w:t>
      </w:r>
      <w:r>
        <w:t xml:space="preserve"> </w:t>
      </w:r>
      <w:r>
        <w:t xml:space="preserve">“Direct Entry”</w:t>
      </w:r>
      <w:r>
        <w:t xml:space="preserve"> </w:t>
      </w:r>
      <w:r>
        <w:t xml:space="preserve">and is fully implemented. Any NOC admin may add an</w:t>
      </w:r>
      <w:r>
        <w:t xml:space="preserve"> </w:t>
      </w:r>
      <w:r>
        <w:t xml:space="preserve">organisation directly without a second approval. Entries are</w:t>
      </w:r>
      <w:r>
        <w:t xml:space="preserve"> </w:t>
      </w:r>
      <w:r>
        <w:t xml:space="preserve">audit-logged as</w:t>
      </w:r>
      <w:r>
        <w:t xml:space="preserve"> </w:t>
      </w:r>
      <w:r>
        <w:rPr>
          <w:rStyle w:val="VerbatimChar"/>
        </w:rPr>
        <w:t xml:space="preserve">noc_direct_entry</w:t>
      </w:r>
      <w:r>
        <w:t xml:space="preserve">, badged in the NOC EoI queue, and</w:t>
      </w:r>
      <w:r>
        <w:t xml:space="preserve"> </w:t>
      </w:r>
      <w:r>
        <w:t xml:space="preserve">visible in the OCOG cross-NOC view. No limit on the number of direct</w:t>
      </w:r>
      <w:r>
        <w:t xml:space="preserve"> </w:t>
      </w:r>
      <w:r>
        <w:t xml:space="preserve">entries; audit log is the governance mechanism.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(uses direct entry), OCOG Admin (cross-NOC</w:t>
      </w:r>
      <w:r>
        <w:t xml:space="preserve"> </w:t>
      </w:r>
      <w:r>
        <w:t xml:space="preserve">visibility), IOC Admin (audit visibility)</w:t>
      </w:r>
      <w:r>
        <w:t xml:space="preserve"> </w:t>
      </w:r>
      <w:r>
        <w:rPr>
          <w:b/>
          <w:bCs/>
        </w:rPr>
        <w:t xml:space="preserve">NOC input recommended</w:t>
      </w:r>
      <w:r>
        <w:t xml:space="preserve"> </w:t>
      </w:r>
      <w:r>
        <w:t xml:space="preserve">—</w:t>
      </w:r>
      <w:r>
        <w:t xml:space="preserve"> </w:t>
      </w:r>
      <w:r>
        <w:t xml:space="preserve">does this match how NOCs would actually want to work?</w:t>
      </w:r>
    </w:p>
    <w:bookmarkEnd w:id="13"/>
    <w:bookmarkEnd w:id="14"/>
    <w:bookmarkStart w:id="20" w:name="ocog-and-noc-review-decision-making"/>
    <w:p>
      <w:pPr>
        <w:pStyle w:val="Heading2"/>
      </w:pPr>
      <w:r>
        <w:t xml:space="preserve">2. OCOG and NOC Review &amp; Decision-Making</w:t>
      </w:r>
    </w:p>
    <w:p>
      <w:pPr>
        <w:pStyle w:val="FirstParagraph"/>
      </w:pPr>
      <w:r>
        <w:t xml:space="preserve">These questions relate to how OCOG and NOC administrators evaluate</w:t>
      </w:r>
      <w:r>
        <w:t xml:space="preserve"> </w:t>
      </w:r>
      <w:r>
        <w:t xml:space="preserve">applications and manage decisions. The OCOG is the primary review</w:t>
      </w:r>
      <w:r>
        <w:t xml:space="preserve"> </w:t>
      </w:r>
      <w:r>
        <w:t xml:space="preserve">authority across NOCs; the IOC has visibility but generally does not</w:t>
      </w:r>
      <w:r>
        <w:t xml:space="preserve"> </w:t>
      </w:r>
      <w:r>
        <w:t xml:space="preserve">approve (with the carved-out exceptions noted above).</w:t>
      </w:r>
    </w:p>
    <w:bookmarkStart w:id="15" w:name="noc-workflow-eoi-queue-vs-pbn-screen"/>
    <w:p>
      <w:pPr>
        <w:pStyle w:val="Heading3"/>
      </w:pPr>
      <w:r>
        <w:t xml:space="preserve">2.1 NOC Workflow — EoI Queue vs PbN Screen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NOC press accreditation manager logs into the portal.</w:t>
      </w:r>
      <w:r>
        <w:t xml:space="preserve"> </w:t>
      </w:r>
      <w:r>
        <w:t xml:space="preserve">They may be there to process new applications, or to work on their slot</w:t>
      </w:r>
      <w:r>
        <w:t xml:space="preserve"> </w:t>
      </w:r>
      <w:r>
        <w:t xml:space="preserve">allocation — or both, across different sessions. Our model is that the</w:t>
      </w:r>
      <w:r>
        <w:t xml:space="preserve"> </w:t>
      </w:r>
      <w:r>
        <w:t xml:space="preserve">NOC operates in two distinct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depending on their intention for</w:t>
      </w:r>
      <w:r>
        <w:t xml:space="preserve"> </w:t>
      </w:r>
      <w:r>
        <w:t xml:space="preserve">that session, not two strictly sequential phases:</w:t>
      </w:r>
    </w:p>
    <w:p>
      <w:pPr>
        <w:pStyle w:val="BodyText"/>
      </w:pPr>
      <w:r>
        <w:rPr>
          <w:b/>
          <w:bCs/>
        </w:rPr>
        <w:t xml:space="preserve">Mode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“Clear the queue”</w:t>
      </w:r>
      <w:r>
        <w:rPr>
          <w:b/>
          <w:bCs/>
        </w:rPr>
        <w:t xml:space="preserve"> </w:t>
      </w:r>
      <w:r>
        <w:rPr>
          <w:b/>
          <w:bCs/>
        </w:rPr>
        <w:t xml:space="preserve">sessions.</w:t>
      </w:r>
      <w:r>
        <w:t xml:space="preserve"> </w:t>
      </w:r>
      <w:r>
        <w:t xml:space="preserve">The NOC works through pending</w:t>
      </w:r>
      <w:r>
        <w:t xml:space="preserve"> </w:t>
      </w:r>
      <w:r>
        <w:t xml:space="preserve">and resubmitted applications, deciding: approved as candidate, returned</w:t>
      </w:r>
      <w:r>
        <w:t xml:space="preserve"> </w:t>
      </w:r>
      <w:r>
        <w:t xml:space="preserve">for corrections, or rejected. The goal is to keep the queue empty as</w:t>
      </w:r>
      <w:r>
        <w:t xml:space="preserve"> </w:t>
      </w:r>
      <w:r>
        <w:t xml:space="preserve">applications arrive. Direct entries (known returning orgs the NOC adds</w:t>
      </w:r>
      <w:r>
        <w:t xml:space="preserve"> </w:t>
      </w:r>
      <w:r>
        <w:t xml:space="preserve">directly) appear here as pre-approved. This mode is purely about</w:t>
      </w:r>
      <w:r>
        <w:t xml:space="preserve"> </w:t>
      </w:r>
      <w:r>
        <w:t xml:space="preserve">eligibility —</w:t>
      </w:r>
      <w:r>
        <w:t xml:space="preserve"> </w:t>
      </w:r>
      <w:r>
        <w:t xml:space="preserve">“is this a legitimate media organisation?”</w:t>
      </w:r>
      <w:r>
        <w:t xml:space="preserve"> </w:t>
      </w:r>
      <w:r>
        <w:t xml:space="preserve">— not about</w:t>
      </w:r>
      <w:r>
        <w:t xml:space="preserve"> </w:t>
      </w:r>
      <w:r>
        <w:t xml:space="preserve">slot quantities.</w:t>
      </w:r>
    </w:p>
    <w:p>
      <w:pPr>
        <w:pStyle w:val="BodyText"/>
      </w:pPr>
      <w:r>
        <w:rPr>
          <w:b/>
          <w:bCs/>
        </w:rPr>
        <w:t xml:space="preserve">Mode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“Work on allocation”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sessions.</w:t>
      </w:r>
      <w:r>
        <w:t xml:space="preserve"> </w:t>
      </w:r>
      <w:r>
        <w:t xml:space="preserve">The NOC opens the Press by</w:t>
      </w:r>
      <w:r>
        <w:t xml:space="preserve"> </w:t>
      </w:r>
      <w:r>
        <w:t xml:space="preserve">Number screen and assigns slot numbers to approved candidates against</w:t>
      </w:r>
      <w:r>
        <w:t xml:space="preserve"> </w:t>
      </w:r>
      <w:r>
        <w:t xml:space="preserve">their IOC quota. This includes candidates from EoI, direct entries, and</w:t>
      </w:r>
      <w:r>
        <w:t xml:space="preserve"> </w:t>
      </w:r>
      <w:r>
        <w:t xml:space="preserve">direct PbN additions. The NOC will return to this screen multiple times</w:t>
      </w:r>
      <w:r>
        <w:t xml:space="preserve"> </w:t>
      </w:r>
      <w:r>
        <w:t xml:space="preserve">as they refine their allocation, respond to OCOG feedback, and</w:t>
      </w:r>
      <w:r>
        <w:t xml:space="preserve"> </w:t>
      </w:r>
      <w:r>
        <w:t xml:space="preserve">eventually submit.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two-screen model is confirmed — EoI queue for</w:t>
      </w:r>
      <w:r>
        <w:t xml:space="preserve"> </w:t>
      </w:r>
      <w:r>
        <w:t xml:space="preserve">eligibility decisions, PbN screen for slot allocation. The home</w:t>
      </w:r>
      <w:r>
        <w:t xml:space="preserve"> </w:t>
      </w:r>
      <w:r>
        <w:t xml:space="preserve">dashboard bridges the two with a summary. Applicant-facing status</w:t>
      </w:r>
      <w:r>
        <w:t xml:space="preserve"> </w:t>
      </w:r>
      <w:r>
        <w:t xml:space="preserve">communication: applicants see only</w:t>
      </w:r>
      <w:r>
        <w:t xml:space="preserve"> </w:t>
      </w:r>
      <w:r>
        <w:t xml:space="preserve">“Returned for Correction”</w:t>
      </w:r>
      <w:r>
        <w:t xml:space="preserve"> </w:t>
      </w:r>
      <w:r>
        <w:t xml:space="preserve">and</w:t>
      </w:r>
      <w:r>
        <w:t xml:space="preserve"> </w:t>
      </w:r>
      <w:r>
        <w:t xml:space="preserve">“Under</w:t>
      </w:r>
      <w:r>
        <w:t xml:space="preserve"> </w:t>
      </w:r>
      <w:r>
        <w:t xml:space="preserve">Review”</w:t>
      </w:r>
      <w:r>
        <w:t xml:space="preserve"> </w:t>
      </w:r>
      <w:r>
        <w:t xml:space="preserve">until the official batch communication release date. Other</w:t>
      </w:r>
      <w:r>
        <w:t xml:space="preserve"> </w:t>
      </w:r>
      <w:r>
        <w:t xml:space="preserve">statuses (approved, rejected) are held and communicated in batch.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(primary), OCOG Admin (visibility)</w:t>
      </w:r>
      <w:r>
        <w:t xml:space="preserve"> </w:t>
      </w:r>
      <w:r>
        <w:rPr>
          <w:b/>
          <w:bCs/>
        </w:rPr>
        <w:t xml:space="preserve">NOC</w:t>
      </w:r>
      <w:r>
        <w:rPr>
          <w:b/>
          <w:bCs/>
        </w:rPr>
        <w:t xml:space="preserve"> </w:t>
      </w:r>
      <w:r>
        <w:rPr>
          <w:b/>
          <w:bCs/>
        </w:rPr>
        <w:t xml:space="preserve">input strongly recommended</w:t>
      </w:r>
      <w:r>
        <w:t xml:space="preserve"> </w:t>
      </w:r>
      <w:r>
        <w:t xml:space="preserve">— validate with at least one</w:t>
      </w:r>
      <w:r>
        <w:t xml:space="preserve"> </w:t>
      </w:r>
      <w:r>
        <w:t xml:space="preserve">large-territory and one small-territory NOC representative.</w:t>
      </w:r>
    </w:p>
    <w:bookmarkEnd w:id="15"/>
    <w:bookmarkStart w:id="16" w:name="X81d0c49a869a15e4348ea5afb7faf006d7d01a5"/>
    <w:p>
      <w:pPr>
        <w:pStyle w:val="Heading3"/>
      </w:pPr>
      <w:r>
        <w:t xml:space="preserve">2.2 Application Reversals — Differentiating EoI Approval from PbN Allocation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implementation required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There are two distinct decision points in the process, and</w:t>
      </w:r>
      <w:r>
        <w:t xml:space="preserve"> </w:t>
      </w:r>
      <w:r>
        <w:t xml:space="preserve">it’s important to understand what a</w:t>
      </w:r>
      <w:r>
        <w:t xml:space="preserve"> </w:t>
      </w:r>
      <w:r>
        <w:t xml:space="preserve">“reversal”</w:t>
      </w:r>
      <w:r>
        <w:t xml:space="preserve"> </w:t>
      </w:r>
      <w:r>
        <w:t xml:space="preserve">means at each stage:</w:t>
      </w:r>
    </w:p>
    <w:p>
      <w:pPr>
        <w:pStyle w:val="BodyText"/>
      </w:pPr>
      <w:r>
        <w:rPr>
          <w:b/>
          <w:bCs/>
        </w:rPr>
        <w:t xml:space="preserve">Stage 1 — EoI approval as candidate (NOC decision):</w:t>
      </w:r>
      <w:r>
        <w:t xml:space="preserve"> </w:t>
      </w:r>
      <w:r>
        <w:t xml:space="preserve">When a NOC</w:t>
      </w:r>
      <w:r>
        <w:t xml:space="preserve"> </w:t>
      </w:r>
      <w:r>
        <w:t xml:space="preserve">approves an EoI application, they are saying</w:t>
      </w:r>
      <w:r>
        <w:t xml:space="preserve"> </w:t>
      </w:r>
      <w:r>
        <w:t xml:space="preserve">“this organisation is a</w:t>
      </w:r>
      <w:r>
        <w:t xml:space="preserve"> </w:t>
      </w:r>
      <w:r>
        <w:t xml:space="preserve">legitimate media entity eligible to be considered for press credentials.”</w:t>
      </w:r>
      <w:r>
        <w:t xml:space="preserve"> </w:t>
      </w:r>
      <w:r>
        <w:t xml:space="preserve">This does not guarantee the org will receive any slots — it places them</w:t>
      </w:r>
      <w:r>
        <w:t xml:space="preserve"> </w:t>
      </w:r>
      <w:r>
        <w:t xml:space="preserve">in the candidate pool for PbN. A NOC might approve 200 organisations but</w:t>
      </w:r>
      <w:r>
        <w:t xml:space="preserve"> </w:t>
      </w:r>
      <w:r>
        <w:t xml:space="preserve">only have quota for 80.</w:t>
      </w:r>
    </w:p>
    <w:p>
      <w:pPr>
        <w:pStyle w:val="BodyText"/>
      </w:pPr>
      <w:r>
        <w:rPr>
          <w:b/>
          <w:bCs/>
        </w:rPr>
        <w:t xml:space="preserve">Stage 2 — PbN allocation (NOC proposes, OCOG approves):</w:t>
      </w:r>
      <w:r>
        <w:t xml:space="preserve"> </w:t>
      </w:r>
      <w:r>
        <w:t xml:space="preserve">During</w:t>
      </w:r>
      <w:r>
        <w:t xml:space="preserve"> </w:t>
      </w:r>
      <w:r>
        <w:t xml:space="preserve">PbN, the NOC assigns specific per-category slot numbers to approved</w:t>
      </w:r>
      <w:r>
        <w:t xml:space="preserve"> </w:t>
      </w:r>
      <w:r>
        <w:t xml:space="preserve">organisations. Some approved orgs may receive zero slots — effectively</w:t>
      </w:r>
      <w:r>
        <w:t xml:space="preserve"> </w:t>
      </w:r>
      <w:r>
        <w:t xml:space="preserve">not receiving credentials despite being eligible. The OCOG then formally</w:t>
      </w:r>
      <w:r>
        <w:t xml:space="preserve"> </w:t>
      </w:r>
      <w:r>
        <w:t xml:space="preserve">approves (or adjusts) the NOC’s allocation.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Rejection is reversible. A NOC admin may un-reject an</w:t>
      </w:r>
      <w:r>
        <w:t xml:space="preserve"> </w:t>
      </w:r>
      <w:r>
        <w:t xml:space="preserve">application (rejected → pending) without OCOG approval. This is</w:t>
      </w:r>
      <w:r>
        <w:t xml:space="preserve"> </w:t>
      </w:r>
      <w:r>
        <w:t xml:space="preserve">low-risk because applicants are not notified of rejection until the</w:t>
      </w:r>
      <w:r>
        <w:t xml:space="preserve"> </w:t>
      </w:r>
      <w:r>
        <w:t xml:space="preserve">batch communication release date. All reversals are audit-logged.</w:t>
      </w:r>
      <w:r>
        <w:t xml:space="preserve"> </w:t>
      </w:r>
      <w:r>
        <w:t xml:space="preserve">Post-ACR-export reversals remain blocked (per 4.3 Model A). Audit log is</w:t>
      </w:r>
      <w:r>
        <w:t xml:space="preserve"> </w:t>
      </w:r>
      <w:r>
        <w:t xml:space="preserve">sufficient for OCOG visibility of reversals; no additional visual flag</w:t>
      </w:r>
      <w:r>
        <w:t xml:space="preserve"> </w:t>
      </w:r>
      <w:r>
        <w:t xml:space="preserve">required.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(EoI reversals), OCOG Admin (PbN</w:t>
      </w:r>
      <w:r>
        <w:t xml:space="preserve"> </w:t>
      </w:r>
      <w:r>
        <w:t xml:space="preserve">reversals, visibility), IOC Admin (audit visibility)</w:t>
      </w:r>
    </w:p>
    <w:bookmarkEnd w:id="16"/>
    <w:bookmarkStart w:id="17" w:name="Xb77ad5ddc4747982183b9f87e37e0e9069924ee"/>
    <w:p>
      <w:pPr>
        <w:pStyle w:val="Heading3"/>
      </w:pPr>
      <w:r>
        <w:t xml:space="preserve">2.3 Dashboard Filtering — What Signals Help Reviewers Prioritise?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implementation required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The OCOG admin looking across all 206 NOCs needs to spot</w:t>
      </w:r>
      <w:r>
        <w:t xml:space="preserve"> </w:t>
      </w:r>
      <w:r>
        <w:t xml:space="preserve">problems — applications from non-journalists, government officials</w:t>
      </w:r>
      <w:r>
        <w:t xml:space="preserve"> </w:t>
      </w:r>
      <w:r>
        <w:t xml:space="preserve">seeking credentials, orgs that have been flagged in prior Games.</w:t>
      </w:r>
      <w:r>
        <w:t xml:space="preserve"> </w:t>
      </w:r>
      <w:r>
        <w:t xml:space="preserve">Similarly, a NOC admin for a large territory like the USA sees 400</w:t>
      </w:r>
      <w:r>
        <w:t xml:space="preserve"> </w:t>
      </w:r>
      <w:r>
        <w:t xml:space="preserve">pending applications against a quota of 80 press slots and needs to</w:t>
      </w:r>
      <w:r>
        <w:t xml:space="preserve"> </w:t>
      </w:r>
      <w:r>
        <w:t xml:space="preserve">prioritise which to review first.</w:t>
      </w:r>
    </w:p>
    <w:p>
      <w:pPr>
        <w:pStyle w:val="BodyText"/>
      </w:pPr>
      <w:r>
        <w:t xml:space="preserve">The dashboards currently show simple tables with status filters</w:t>
      </w:r>
      <w:r>
        <w:t xml:space="preserve"> </w:t>
      </w:r>
      <w:r>
        <w:t xml:space="preserve">(pending, approved, returned, rejected), but no</w:t>
      </w:r>
      <w:r>
        <w:t xml:space="preserve"> </w:t>
      </w:r>
      <w:r>
        <w:t xml:space="preserve">“quality signals”</w:t>
      </w:r>
      <w:r>
        <w:t xml:space="preserve"> </w:t>
      </w:r>
      <w:r>
        <w:t xml:space="preserve">to</w:t>
      </w:r>
      <w:r>
        <w:t xml:space="preserve"> </w:t>
      </w:r>
      <w:r>
        <w:t xml:space="preserve">help triage.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existing OCOG EoI summary page (/admin/ocog/eoi)</w:t>
      </w:r>
      <w:r>
        <w:t xml:space="preserve"> </w:t>
      </w:r>
      <w:r>
        <w:t xml:space="preserve">showing per-NOC status counts is confirmed as the right level of detail</w:t>
      </w:r>
      <w:r>
        <w:t xml:space="preserve"> </w:t>
      </w:r>
      <w:r>
        <w:t xml:space="preserve">for OCOG cross-NOC oversight during EoI. The following improvements will</w:t>
      </w:r>
      <w:r>
        <w:t xml:space="preserve"> </w:t>
      </w:r>
      <w:r>
        <w:t xml:space="preserve">be implemented: (a) search/filter by NOC code on the OCOG EoI summary;</w:t>
      </w:r>
      <w:r>
        <w:t xml:space="preserve"> </w:t>
      </w:r>
      <w:r>
        <w:t xml:space="preserve">(b) clickable NOC rows allowing OCOG to drill into a read-only view of</w:t>
      </w:r>
      <w:r>
        <w:t xml:space="preserve"> </w:t>
      </w:r>
      <w:r>
        <w:t xml:space="preserve">that NOC’s application list; (c) text search on the NOC EoI queue to</w:t>
      </w:r>
      <w:r>
        <w:t xml:space="preserve"> </w:t>
      </w:r>
      <w:r>
        <w:t xml:space="preserve">help large-territory NOC admins triage high volumes; (d) verify the EoI</w:t>
      </w:r>
      <w:r>
        <w:t xml:space="preserve"> </w:t>
      </w:r>
      <w:r>
        <w:t xml:space="preserve">CSV export includes all form fields. The OCOG</w:t>
      </w:r>
      <w:r>
        <w:t xml:space="preserve"> </w:t>
      </w:r>
      <w:r>
        <w:t xml:space="preserve">“flag as content-invalid”</w:t>
      </w:r>
      <w:r>
        <w:t xml:space="preserve"> </w:t>
      </w:r>
      <w:r>
        <w:t xml:space="preserve">annotation feature is deferred to post-LA28. The 10-submission-per-email</w:t>
      </w:r>
      <w:r>
        <w:t xml:space="preserve"> </w:t>
      </w:r>
      <w:r>
        <w:t xml:space="preserve">limit is confirmed built.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OCOG Admin (primary cross-NOC review), NOC Admin</w:t>
      </w:r>
      <w:r>
        <w:t xml:space="preserve"> </w:t>
      </w:r>
      <w:r>
        <w:t xml:space="preserve">(territory triage), IOC Admin (also has visibility)</w:t>
      </w:r>
      <w:r>
        <w:t xml:space="preserve"> </w:t>
      </w:r>
      <w:r>
        <w:rPr>
          <w:b/>
          <w:bCs/>
        </w:rPr>
        <w:t xml:space="preserve">NOC input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— large-territory NOCs (USA, GBR, GER, FRA, JPN) would</w:t>
      </w:r>
      <w:r>
        <w:t xml:space="preserve"> </w:t>
      </w:r>
      <w:r>
        <w:t xml:space="preserve">benefit most from better filtering.</w:t>
      </w:r>
    </w:p>
    <w:bookmarkEnd w:id="17"/>
    <w:bookmarkStart w:id="18" w:name="X52409d21b0ed74004270a88a81dfa510793a8d3"/>
    <w:p>
      <w:pPr>
        <w:pStyle w:val="Heading3"/>
      </w:pPr>
      <w:r>
        <w:t xml:space="preserve">2.4 Cross-NOC Duplicate Detection — Currently Disabled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implemented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small, unknown media company applies through three NOCs</w:t>
      </w:r>
      <w:r>
        <w:t xml:space="preserve"> </w:t>
      </w:r>
      <w:r>
        <w:t xml:space="preserve">simultaneously, trying to get credentials through whichever one approves</w:t>
      </w:r>
      <w:r>
        <w:t xml:space="preserve"> </w:t>
      </w:r>
      <w:r>
        <w:t xml:space="preserve">first. The OCOG — as the primary cross-NOC authority — might want to</w:t>
      </w:r>
      <w:r>
        <w:t xml:space="preserve"> </w:t>
      </w:r>
      <w:r>
        <w:t xml:space="preserve">catch this.</w:t>
      </w:r>
    </w:p>
    <w:p>
      <w:pPr>
        <w:pStyle w:val="BodyText"/>
      </w:pPr>
      <w:r>
        <w:t xml:space="preserve">Separately, major wire services like Reuters legitimately operate in</w:t>
      </w:r>
      <w:r>
        <w:t xml:space="preserve"> </w:t>
      </w:r>
      <w:r>
        <w:t xml:space="preserve">many NOC territories. These cases are expected and not problematic —</w:t>
      </w:r>
      <w:r>
        <w:t xml:space="preserve"> </w:t>
      </w:r>
      <w:r>
        <w:t xml:space="preserve">and the largest of these (AFP, AP, Reuters, Xinhua) are already handled</w:t>
      </w:r>
      <w:r>
        <w:t xml:space="preserve"> </w:t>
      </w:r>
      <w:r>
        <w:t xml:space="preserve">as IOC-Direct reserved organisations, bypassing the NOC process</w:t>
      </w:r>
      <w:r>
        <w:t xml:space="preserve"> </w:t>
      </w:r>
      <w:r>
        <w:t xml:space="preserve">entirely.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Duplicate detection is fully implemented per the</w:t>
      </w:r>
      <w:r>
        <w:t xml:space="preserve"> </w:t>
      </w:r>
      <w:r>
        <w:t xml:space="preserve">requirements in</w:t>
      </w:r>
      <w:r>
        <w:t xml:space="preserve"> </w:t>
      </w:r>
      <w:r>
        <w:rPr>
          <w:rStyle w:val="VerbatimChar"/>
        </w:rPr>
        <w:t xml:space="preserve">docs/brainstorms/2026-04-17-duplicate-detection-requirements.md</w:t>
      </w:r>
      <w:r>
        <w:t xml:space="preserve">.</w:t>
      </w:r>
      <w:r>
        <w:t xml:space="preserve"> </w:t>
      </w:r>
      <w:r>
        <w:t xml:space="preserve">Within a single NOC: pairs are flagged when any of four signals fire —</w:t>
      </w:r>
      <w:r>
        <w:t xml:space="preserve"> </w:t>
      </w:r>
      <w:r>
        <w:t xml:space="preserve">same email domain, same contact email, same website hostname, or</w:t>
      </w:r>
      <w:r>
        <w:t xml:space="preserve"> </w:t>
      </w:r>
      <w:r>
        <w:t xml:space="preserve">normalised org name + same country. NOC admins can reject or return for</w:t>
      </w:r>
      <w:r>
        <w:t xml:space="preserve"> </w:t>
      </w:r>
      <w:r>
        <w:t xml:space="preserve">correction directly from the comparison modal. Cross-NOC: organisations</w:t>
      </w:r>
      <w:r>
        <w:t xml:space="preserve"> </w:t>
      </w:r>
      <w:r>
        <w:t xml:space="preserve">appearing in multiple NOC territories are flagged via the</w:t>
      </w:r>
      <w:r>
        <w:t xml:space="preserve"> </w:t>
      </w:r>
      <w:r>
        <w:rPr>
          <w:rStyle w:val="VerbatimChar"/>
        </w:rPr>
        <w:t xml:space="preserve">isMultiTerritoryFlag</w:t>
      </w:r>
      <w:r>
        <w:t xml:space="preserve"> </w:t>
      </w:r>
      <w:r>
        <w:t xml:space="preserve">and surfaced in the IOC dashboard.</w:t>
      </w:r>
    </w:p>
    <w:p>
      <w:pPr>
        <w:pStyle w:val="BodyText"/>
      </w:pPr>
      <w:r>
        <w:t xml:space="preserve">Note: unresolved duplicate flags are currently soft warnings — both</w:t>
      </w:r>
      <w:r>
        <w:t xml:space="preserve"> </w:t>
      </w:r>
      <w:r>
        <w:t xml:space="preserve">flagged organisations can flow to ACR if the NOC never resolves the</w:t>
      </w:r>
      <w:r>
        <w:t xml:space="preserve"> </w:t>
      </w:r>
      <w:r>
        <w:t xml:space="preserve">flag. Whether unresolved pairs should trigger a hard block at OCOG PbN</w:t>
      </w:r>
      <w:r>
        <w:t xml:space="preserve"> </w:t>
      </w:r>
      <w:r>
        <w:t xml:space="preserve">approval is an open question tied to the Common Codes / org-identity</w:t>
      </w:r>
      <w:r>
        <w:t xml:space="preserve"> </w:t>
      </w:r>
      <w:r>
        <w:t xml:space="preserve">strategy (see 6.2 and 6.3).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OCOG Admin (primary cross-NOC review), IOC Admin</w:t>
      </w:r>
      <w:r>
        <w:t xml:space="preserve"> </w:t>
      </w:r>
      <w:r>
        <w:t xml:space="preserve">(visibility), NOC Admin (receives flags)</w:t>
      </w:r>
    </w:p>
    <w:bookmarkEnd w:id="18"/>
    <w:bookmarkStart w:id="19" w:name="eoi-close-process-batch-communications"/>
    <w:p>
      <w:pPr>
        <w:pStyle w:val="Heading3"/>
      </w:pPr>
      <w:r>
        <w:t xml:space="preserve">2.5 EoI Close Process &amp; Batch Communications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for next stakeholder meeting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When the EoI window closes, and separately when PbN is</w:t>
      </w:r>
      <w:r>
        <w:t xml:space="preserve"> </w:t>
      </w:r>
      <w:r>
        <w:t xml:space="preserve">finalised, a batch of communications and downstream activities is</w:t>
      </w:r>
      <w:r>
        <w:t xml:space="preserve"> </w:t>
      </w:r>
      <w:r>
        <w:t xml:space="preserve">triggered — including rejection notifications, approval-as-candidate</w:t>
      </w:r>
      <w:r>
        <w:t xml:space="preserve"> </w:t>
      </w:r>
      <w:r>
        <w:t xml:space="preserve">confirmations, and handoffs to subsequent process stages.</w:t>
      </w:r>
    </w:p>
    <w:p>
      <w:pPr>
        <w:pStyle w:val="BodyText"/>
      </w:pPr>
      <w:r>
        <w:rPr>
          <w:b/>
          <w:bCs/>
        </w:rPr>
        <w:t xml:space="preserve">Questions we need answered:</w:t>
      </w:r>
    </w:p>
    <w:p>
      <w:pPr>
        <w:pStyle w:val="Compact"/>
        <w:numPr>
          <w:ilvl w:val="0"/>
          <w:numId w:val="1001"/>
        </w:numPr>
      </w:pPr>
      <w:r>
        <w:t xml:space="preserve">What communications fire at each close event (EoI close, PbN final</w:t>
      </w:r>
      <w:r>
        <w:t xml:space="preserve"> </w:t>
      </w:r>
      <w:r>
        <w:t xml:space="preserve">approval, ACR handoff)?</w:t>
      </w:r>
    </w:p>
    <w:p>
      <w:pPr>
        <w:pStyle w:val="Compact"/>
        <w:numPr>
          <w:ilvl w:val="0"/>
          <w:numId w:val="1001"/>
        </w:numPr>
      </w:pPr>
      <w:r>
        <w:t xml:space="preserve">In what order do they fire, and are any conditional on others</w:t>
      </w:r>
      <w:r>
        <w:t xml:space="preserve"> </w:t>
      </w:r>
      <w:r>
        <w:t xml:space="preserve">completing?</w:t>
      </w:r>
    </w:p>
    <w:p>
      <w:pPr>
        <w:pStyle w:val="Compact"/>
        <w:numPr>
          <w:ilvl w:val="0"/>
          <w:numId w:val="1001"/>
        </w:numPr>
      </w:pPr>
      <w:r>
        <w:t xml:space="preserve">Who approves the release of each communication batch — OCOG, IOC,</w:t>
      </w:r>
      <w:r>
        <w:t xml:space="preserve"> </w:t>
      </w:r>
      <w:r>
        <w:t xml:space="preserve">or D.TEC?</w:t>
      </w:r>
    </w:p>
    <w:p>
      <w:pPr>
        <w:pStyle w:val="Compact"/>
        <w:numPr>
          <w:ilvl w:val="0"/>
          <w:numId w:val="1001"/>
        </w:numPr>
      </w:pPr>
      <w:r>
        <w:t xml:space="preserve">Does the portal orchestrate the batch release, or is it a manual</w:t>
      </w:r>
      <w:r>
        <w:t xml:space="preserve"> </w:t>
      </w:r>
      <w:r>
        <w:t xml:space="preserve">step by OCOG?</w:t>
      </w:r>
    </w:p>
    <w:p>
      <w:pPr>
        <w:pStyle w:val="Compact"/>
        <w:numPr>
          <w:ilvl w:val="0"/>
          <w:numId w:val="1001"/>
        </w:numPr>
      </w:pPr>
      <w:r>
        <w:t xml:space="preserve">Are rejection notifications truly held until the batch release date,</w:t>
      </w:r>
      <w:r>
        <w:t xml:space="preserve"> </w:t>
      </w:r>
      <w:r>
        <w:t xml:space="preserve">and who sets that date?</w:t>
      </w:r>
    </w:p>
    <w:p>
      <w:pPr>
        <w:pStyle w:val="FirstParagraph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Applicants (receive communications), NOC Admin (may</w:t>
      </w:r>
      <w:r>
        <w:t xml:space="preserve"> </w:t>
      </w:r>
      <w:r>
        <w:t xml:space="preserve">trigger release), OCOG Admin (approval authority for communications),</w:t>
      </w:r>
      <w:r>
        <w:t xml:space="preserve"> </w:t>
      </w:r>
      <w:r>
        <w:t xml:space="preserve">D.TEC (portal orchestration).</w:t>
      </w:r>
    </w:p>
    <w:bookmarkEnd w:id="19"/>
    <w:bookmarkEnd w:id="20"/>
    <w:bookmarkStart w:id="23" w:name="quota-management-ioc-sets-the-numbers"/>
    <w:p>
      <w:pPr>
        <w:pStyle w:val="Heading2"/>
      </w:pPr>
      <w:r>
        <w:t xml:space="preserve">3. Quota Management — IOC Sets the Numbers</w:t>
      </w:r>
    </w:p>
    <w:p>
      <w:pPr>
        <w:pStyle w:val="FirstParagraph"/>
      </w:pPr>
      <w:r>
        <w:t xml:space="preserve">These questions relate to how the IOC assigns per-category quotas to</w:t>
      </w:r>
      <w:r>
        <w:t xml:space="preserve"> </w:t>
      </w:r>
      <w:r>
        <w:t xml:space="preserve">each NOC and how those quotas flow through the system.</w:t>
      </w:r>
    </w:p>
    <w:bookmarkStart w:id="21" w:name="X7e6a366bf2c45a8404b3a809a6352abfef41a0a"/>
    <w:p>
      <w:pPr>
        <w:pStyle w:val="Heading3"/>
      </w:pPr>
      <w:r>
        <w:t xml:space="preserve">3.1 Quota Assignees Beyond NOCs — Who Else Gets Quotas?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awaiting IOC confirmation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The IOC imports per-category quota totals for each of the</w:t>
      </w:r>
      <w:r>
        <w:t xml:space="preserve"> </w:t>
      </w:r>
      <w:r>
        <w:t xml:space="preserve">206 NOCs. But there are other entities that also need media quotas: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Federations (IFs):</w:t>
      </w:r>
      <w:r>
        <w:t xml:space="preserve"> </w:t>
      </w:r>
      <w:r>
        <w:t xml:space="preserve">Resolved — IFs have quotas set</w:t>
      </w:r>
      <w:r>
        <w:t xml:space="preserve"> </w:t>
      </w:r>
      <w:r>
        <w:t xml:space="preserve">by the IOC and enter their own fast-track items for OCOG approval (see</w:t>
      </w:r>
      <w:r>
        <w:t xml:space="preserve"> </w:t>
      </w:r>
      <w:r>
        <w:t xml:space="preserve">R-4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IOC-Direct organisations (AFP, AP, Reuters, etc.):</w:t>
      </w:r>
      <w:r>
        <w:t xml:space="preserve"> </w:t>
      </w:r>
      <w:r>
        <w:t xml:space="preserve">Resolved —</w:t>
      </w:r>
      <w:r>
        <w:t xml:space="preserve"> </w:t>
      </w:r>
      <w:r>
        <w:t xml:space="preserve">managed under a special</w:t>
      </w:r>
      <w:r>
        <w:t xml:space="preserve"> </w:t>
      </w:r>
      <w:r>
        <w:rPr>
          <w:rStyle w:val="VerbatimChar"/>
        </w:rPr>
        <w:t xml:space="preserve">IOC_DIRECT</w:t>
      </w:r>
      <w:r>
        <w:t xml:space="preserve"> </w:t>
      </w:r>
      <w:r>
        <w:t xml:space="preserve">pseudo-NOC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INOs (International Non-Governmental Organisations):</w:t>
      </w:r>
      <w:r>
        <w:t xml:space="preserve"> </w:t>
      </w:r>
      <w:r>
        <w:t xml:space="preserve">INOs follow</w:t>
      </w:r>
      <w:r>
        <w:t xml:space="preserve"> </w:t>
      </w:r>
      <w:r>
        <w:t xml:space="preserve">the IOC-Direct workflow with a distinct org-type label (</w:t>
      </w:r>
      <w:r>
        <w:t xml:space="preserve">“INO”</w:t>
      </w:r>
      <w:r>
        <w:t xml:space="preserve">) to</w:t>
      </w:r>
      <w:r>
        <w:t xml:space="preserve"> </w:t>
      </w:r>
      <w:r>
        <w:t xml:space="preserve">differentiate from</w:t>
      </w:r>
      <w:r>
        <w:t xml:space="preserve"> </w:t>
      </w:r>
      <w:r>
        <w:t xml:space="preserve">“Worldwide Agency”</w:t>
      </w:r>
      <w:r>
        <w:t xml:space="preserve"> </w:t>
      </w:r>
      <w:r>
        <w:t xml:space="preserve">for OCOG ACR coding purposes.</w:t>
      </w:r>
      <w:r>
        <w:t xml:space="preserve"> </w:t>
      </w:r>
      <w:r>
        <w:t xml:space="preserve">EOR/Refugee Team is handled via the INO/IOC-Direct route and does not</w:t>
      </w:r>
      <w:r>
        <w:t xml:space="preserve"> </w:t>
      </w:r>
      <w:r>
        <w:t xml:space="preserve">appear as a standalone NOC in any dropdown. This adopts Martyn</w:t>
      </w:r>
      <w:r>
        <w:t xml:space="preserve"> </w:t>
      </w:r>
      <w:r>
        <w:t xml:space="preserve">Cornish’s (OCOG) recommendation; to be confirmed with Emma Morris</w:t>
      </w:r>
      <w:r>
        <w:t xml:space="preserve"> </w:t>
      </w:r>
      <w:r>
        <w:t xml:space="preserve">(IOC).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 edge cases:</w:t>
      </w:r>
      <w:r>
        <w:t xml:space="preserve"> </w:t>
      </w:r>
      <w:r>
        <w:t xml:space="preserve">Are there any other entities that receive media</w:t>
      </w:r>
      <w:r>
        <w:t xml:space="preserve"> </w:t>
      </w:r>
      <w:r>
        <w:t xml:space="preserve">credential quotas outside the NOC/IF/IOC-Direct model?</w:t>
      </w:r>
    </w:p>
    <w:p>
      <w:pPr>
        <w:pStyle w:val="FirstParagraph"/>
      </w:pPr>
      <w:r>
        <w:rPr>
          <w:b/>
          <w:bCs/>
        </w:rPr>
        <w:t xml:space="preserve">Resolution:</w:t>
      </w:r>
      <w:r>
        <w:t xml:space="preserve"> </w:t>
      </w:r>
      <w:r>
        <w:t xml:space="preserve">INOs follow the IOC-Direct workflow with a distinct</w:t>
      </w:r>
      <w:r>
        <w:t xml:space="preserve"> </w:t>
      </w:r>
      <w:r>
        <w:t xml:space="preserve">“INO”</w:t>
      </w:r>
      <w:r>
        <w:t xml:space="preserve"> </w:t>
      </w:r>
      <w:r>
        <w:t xml:space="preserve">org-type label. EOR/Refugee Team is handled via INO/IOC-Direct</w:t>
      </w:r>
      <w:r>
        <w:t xml:space="preserve"> </w:t>
      </w:r>
      <w:r>
        <w:t xml:space="preserve">route. Awaiting IOC confirmation from Emma Morris.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IOC Admin (assigns quotas), OCOG Admin (approves</w:t>
      </w:r>
      <w:r>
        <w:t xml:space="preserve"> </w:t>
      </w:r>
      <w:r>
        <w:t xml:space="preserve">allocations)</w:t>
      </w:r>
    </w:p>
    <w:bookmarkEnd w:id="21"/>
    <w:bookmarkStart w:id="22" w:name="Xdfac4d007922eb5a4e34253327679fd8c99261b"/>
    <w:p>
      <w:pPr>
        <w:pStyle w:val="Heading3"/>
      </w:pPr>
      <w:r>
        <w:t xml:space="preserve">3.2 Quota Ownership — IOC Enters Direct vs. OCOG Re-keys from Spreadsheet [EM 2026-04-02]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RESOLVED — 2026-04-11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 confirmed.</w:t>
      </w:r>
      <w:r>
        <w:t xml:space="preserve"> </w:t>
      </w:r>
      <w:r>
        <w:t xml:space="preserve">IOC enters per-category quota</w:t>
      </w:r>
      <w:r>
        <w:t xml:space="preserve"> </w:t>
      </w:r>
      <w:r>
        <w:t xml:space="preserve">totals directly into the portal. OCOG does not re-key from a</w:t>
      </w:r>
      <w:r>
        <w:t xml:space="preserve"> </w:t>
      </w:r>
      <w:r>
        <w:t xml:space="preserve">spreadsheet. The quota-entry screen built for IOC Admin stands; no</w:t>
      </w:r>
      <w:r>
        <w:t xml:space="preserve"> </w:t>
      </w:r>
      <w:r>
        <w:t xml:space="preserve">rework required. -</w:t>
      </w:r>
      <w:r>
        <w:t xml:space="preserve"> </w:t>
      </w:r>
      <w:r>
        <w:rPr>
          <w:b/>
          <w:bCs/>
        </w:rPr>
        <w:t xml:space="preserve">OCOG approves PbN. IOC watches.</w:t>
      </w:r>
      <w:r>
        <w:t xml:space="preserve"> </w:t>
      </w:r>
      <w:r>
        <w:t xml:space="preserve">The OCOG is the</w:t>
      </w:r>
      <w:r>
        <w:t xml:space="preserve"> </w:t>
      </w:r>
      <w:r>
        <w:t xml:space="preserve">single formal approval gate for PbN slot allocations. The IOC has</w:t>
      </w:r>
      <w:r>
        <w:t xml:space="preserve"> </w:t>
      </w:r>
      <w:r>
        <w:t xml:space="preserve">read-only visibility on PbN; there is no IOC approval step in the PbN</w:t>
      </w:r>
      <w:r>
        <w:t xml:space="preserve"> </w:t>
      </w:r>
      <w:r>
        <w:t xml:space="preserve">state machine. This matches what is built. -</w:t>
      </w:r>
      <w:r>
        <w:t xml:space="preserve"> </w:t>
      </w:r>
      <w:r>
        <w:rPr>
          <w:b/>
          <w:bCs/>
        </w:rPr>
        <w:t xml:space="preserve">Open wrinkle (holdback</w:t>
      </w:r>
      <w:r>
        <w:rPr>
          <w:b/>
          <w:bCs/>
        </w:rPr>
        <w:t xml:space="preserve"> </w:t>
      </w:r>
      <w:r>
        <w:rPr>
          <w:b/>
          <w:bCs/>
        </w:rPr>
        <w:t xml:space="preserve">caveat):</w:t>
      </w:r>
      <w:r>
        <w:t xml:space="preserve"> </w:t>
      </w:r>
      <w:r>
        <w:t xml:space="preserve">IOC may retain some quota quantities outside the system —</w:t>
      </w:r>
      <w:r>
        <w:t xml:space="preserve"> </w:t>
      </w:r>
      <w:r>
        <w:t xml:space="preserve">what IOC enters in the portal may not equal their total allocation</w:t>
      </w:r>
      <w:r>
        <w:t xml:space="preserve"> </w:t>
      </w:r>
      <w:r>
        <w:t xml:space="preserve">across all channels. Whether MRP needs to surface this gap (e.g. a</w:t>
      </w:r>
      <w:r>
        <w:t xml:space="preserve"> </w:t>
      </w:r>
      <w:r>
        <w:t xml:space="preserve">“portal quota vs. total quota”</w:t>
      </w:r>
      <w:r>
        <w:t xml:space="preserve"> </w:t>
      </w:r>
      <w:r>
        <w:t xml:space="preserve">field or informational note) or simply</w:t>
      </w:r>
      <w:r>
        <w:t xml:space="preserve"> </w:t>
      </w:r>
      <w:r>
        <w:t xml:space="preserve">show what IOC entered is a remaining question to clarify with Emma. Not</w:t>
      </w:r>
      <w:r>
        <w:t xml:space="preserve"> </w:t>
      </w:r>
      <w:r>
        <w:t xml:space="preserve">blocking — treat as a display/UX detail to confirm before July</w:t>
      </w:r>
      <w:r>
        <w:t xml:space="preserve"> </w:t>
      </w:r>
      <w:r>
        <w:t xml:space="preserve">quota-entry phase.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The IOC determines per-category quota totals for each of</w:t>
      </w:r>
      <w:r>
        <w:t xml:space="preserve"> </w:t>
      </w:r>
      <w:r>
        <w:t xml:space="preserve">the 206 NOCs. The question is how those numbers get into the portal.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IOC Admin (enters quotas, read-only on PbN), OCOG</w:t>
      </w:r>
      <w:r>
        <w:t xml:space="preserve"> </w:t>
      </w:r>
      <w:r>
        <w:t xml:space="preserve">Admin (approves PbN)</w:t>
      </w:r>
    </w:p>
    <w:bookmarkEnd w:id="22"/>
    <w:bookmarkEnd w:id="23"/>
    <w:bookmarkStart w:id="29" w:name="X81ab3fc25c0a6f6bec610fdfaa5d64991358dbe"/>
    <w:p>
      <w:pPr>
        <w:pStyle w:val="Heading2"/>
      </w:pPr>
      <w:r>
        <w:t xml:space="preserve">4. Press by Number (PbN) — Allocating Slots to Organisations</w:t>
      </w:r>
    </w:p>
    <w:p>
      <w:pPr>
        <w:pStyle w:val="FirstParagraph"/>
      </w:pPr>
      <w:r>
        <w:t xml:space="preserve">These questions relate to the process where NOCs assign their IOC-given</w:t>
      </w:r>
      <w:r>
        <w:t xml:space="preserve"> </w:t>
      </w:r>
      <w:r>
        <w:t xml:space="preserve">quotas to specific media organisations, and the OCOG formally approves</w:t>
      </w:r>
      <w:r>
        <w:t xml:space="preserve"> </w:t>
      </w:r>
      <w:r>
        <w:t xml:space="preserve">those allocations.</w:t>
      </w:r>
    </w:p>
    <w:bookmarkStart w:id="24" w:name="Xc5c411de5e31ce510d2bf7e21c63c15f0e92867"/>
    <w:p>
      <w:pPr>
        <w:pStyle w:val="Heading3"/>
      </w:pPr>
      <w:r>
        <w:t xml:space="preserve">4.1 NOC E (Press Attaché) — How NOCs Nominate Their Own Staff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PROVISIONAL — design decided, not yet fully built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Every NOC has communications staff — press officers,</w:t>
      </w:r>
      <w:r>
        <w:t xml:space="preserve"> </w:t>
      </w:r>
      <w:r>
        <w:t xml:space="preserve">spokespeople, media liaisons — who need press accreditation to access</w:t>
      </w:r>
      <w:r>
        <w:t xml:space="preserve"> </w:t>
      </w:r>
      <w:r>
        <w:t xml:space="preserve">the Main Press Centre and press areas. These are not external</w:t>
      </w:r>
      <w:r>
        <w:t xml:space="preserve"> </w:t>
      </w:r>
      <w:r>
        <w:t xml:space="preserve">journalists; they work for the NOC itself. The IOC gives each NOC a</w:t>
      </w:r>
      <w:r>
        <w:t xml:space="preserve"> </w:t>
      </w:r>
      <w:r>
        <w:t xml:space="preserve">separate</w:t>
      </w:r>
      <w:r>
        <w:t xml:space="preserve"> </w:t>
      </w:r>
      <w:r>
        <w:t xml:space="preserve">“NOC E”</w:t>
      </w:r>
      <w:r>
        <w:t xml:space="preserve"> </w:t>
      </w:r>
      <w:r>
        <w:t xml:space="preserve">quota for these staff (typically 2–5 people),</w:t>
      </w:r>
      <w:r>
        <w:t xml:space="preserve"> </w:t>
      </w:r>
      <w:r>
        <w:t xml:space="preserve">calculated separately from the main E-category quotas.</w:t>
      </w:r>
    </w:p>
    <w:p>
      <w:pPr>
        <w:pStyle w:val="BodyText"/>
      </w:pPr>
      <w:r>
        <w:t xml:space="preserve">These people do not apply through the public EoI form. The NOC nominates</w:t>
      </w:r>
      <w:r>
        <w:t xml:space="preserve"> </w:t>
      </w:r>
      <w:r>
        <w:t xml:space="preserve">them directly.</w:t>
      </w:r>
    </w:p>
    <w:p>
      <w:pPr>
        <w:pStyle w:val="BodyText"/>
      </w:pPr>
      <w:r>
        <w:rPr>
          <w:b/>
          <w:bCs/>
        </w:rPr>
        <w:t xml:space="preserve">Our provisional decision:</w:t>
      </w:r>
      <w:r>
        <w:t xml:space="preserve"> </w:t>
      </w:r>
      <w:r>
        <w:t xml:space="preserve">The NOC creates a single organisation</w:t>
      </w:r>
      <w:r>
        <w:t xml:space="preserve"> </w:t>
      </w:r>
      <w:r>
        <w:t xml:space="preserve">record representing their own communications team (e.g.,</w:t>
      </w:r>
      <w:r>
        <w:t xml:space="preserve"> </w:t>
      </w:r>
      <w:r>
        <w:t xml:space="preserve">“USA NOC</w:t>
      </w:r>
      <w:r>
        <w:t xml:space="preserve"> </w:t>
      </w:r>
      <w:r>
        <w:t xml:space="preserve">Communications Staff”</w:t>
      </w:r>
      <w:r>
        <w:t xml:space="preserve">) using the direct entry route. During PbN, the</w:t>
      </w:r>
      <w:r>
        <w:t xml:space="preserve"> </w:t>
      </w:r>
      <w:r>
        <w:t xml:space="preserve">NOC allocates NOC E slots to this org, and the OCOG approves the</w:t>
      </w:r>
      <w:r>
        <w:t xml:space="preserve"> </w:t>
      </w:r>
      <w:r>
        <w:t xml:space="preserve">allocation as part of the standard PbN approval process. Individual</w:t>
      </w:r>
      <w:r>
        <w:t xml:space="preserve"> </w:t>
      </w:r>
      <w:r>
        <w:t xml:space="preserve">press attaché names are not collected in MRP — that happens later in</w:t>
      </w:r>
      <w:r>
        <w:t xml:space="preserve"> </w:t>
      </w:r>
      <w:r>
        <w:t xml:space="preserve">ACR (Press by Name, 2027).</w:t>
      </w:r>
    </w:p>
    <w:p>
      <w:pPr>
        <w:pStyle w:val="BodyText"/>
      </w:pPr>
      <w:r>
        <w:rPr>
          <w:b/>
          <w:bCs/>
        </w:rPr>
        <w:t xml:space="preserve">Questions we need answered:</w:t>
      </w:r>
    </w:p>
    <w:p>
      <w:pPr>
        <w:pStyle w:val="Compact"/>
        <w:numPr>
          <w:ilvl w:val="0"/>
          <w:numId w:val="1003"/>
        </w:numPr>
      </w:pPr>
      <w:r>
        <w:t xml:space="preserve">Is the NOC E quota formula-based (the delegation size will be known</w:t>
      </w:r>
      <w:r>
        <w:t xml:space="preserve"> </w:t>
      </w:r>
      <w:r>
        <w:t xml:space="preserve">e.g., based on delegation size), or does the IOC set it manually per</w:t>
      </w:r>
      <w:r>
        <w:t xml:space="preserve"> </w:t>
      </w:r>
      <w:r>
        <w:t xml:space="preserve">NOC like other categories?</w:t>
      </w:r>
    </w:p>
    <w:p>
      <w:pPr>
        <w:pStyle w:val="Compact"/>
        <w:numPr>
          <w:ilvl w:val="0"/>
          <w:numId w:val="1003"/>
        </w:numPr>
      </w:pPr>
      <w:r>
        <w:t xml:space="preserve">Are there cases where a NOC needs multiple entries (e.g.,</w:t>
      </w:r>
      <w:r>
        <w:t xml:space="preserve"> </w:t>
      </w:r>
      <w:r>
        <w:t xml:space="preserve">“NOC comms</w:t>
      </w:r>
      <w:r>
        <w:t xml:space="preserve"> </w:t>
      </w:r>
      <w:r>
        <w:t xml:space="preserve">team”</w:t>
      </w:r>
      <w:r>
        <w:t xml:space="preserve"> </w:t>
      </w:r>
      <w:r>
        <w:t xml:space="preserve">+</w:t>
      </w:r>
      <w:r>
        <w:t xml:space="preserve"> </w:t>
      </w:r>
      <w:r>
        <w:t xml:space="preserve">“NOC broadcast team”</w:t>
      </w:r>
      <w:r>
        <w:t xml:space="preserve">), or is a single</w:t>
      </w:r>
      <w:r>
        <w:t xml:space="preserve"> </w:t>
      </w:r>
      <w:r>
        <w:t xml:space="preserve">“NOC communications</w:t>
      </w:r>
      <w:r>
        <w:t xml:space="preserve"> </w:t>
      </w:r>
      <w:r>
        <w:t xml:space="preserve">staff”</w:t>
      </w:r>
      <w:r>
        <w:t xml:space="preserve"> </w:t>
      </w:r>
      <w:r>
        <w:t xml:space="preserve">org sufficient?</w:t>
      </w:r>
    </w:p>
    <w:p>
      <w:pPr>
        <w:pStyle w:val="Compact"/>
        <w:numPr>
          <w:ilvl w:val="0"/>
          <w:numId w:val="1003"/>
        </w:numPr>
      </w:pPr>
      <w:r>
        <w:t xml:space="preserve">Does the OCOG or IOC need to see the individual names of press</w:t>
      </w:r>
      <w:r>
        <w:t xml:space="preserve"> </w:t>
      </w:r>
      <w:r>
        <w:t xml:space="preserve">attachés at this stage, or is a slot count sufficient for MRP?</w:t>
      </w:r>
    </w:p>
    <w:p>
      <w:pPr>
        <w:pStyle w:val="FirstParagraph"/>
      </w:pPr>
      <w:r>
        <w:rPr>
          <w:b/>
          <w:bCs/>
        </w:rPr>
        <w:t xml:space="preserve">Additional open question for Martyn:</w:t>
      </w:r>
      <w:r>
        <w:t xml:space="preserve"> </w:t>
      </w:r>
      <w:r>
        <w:t xml:space="preserve">Why would a NOC need multiple</w:t>
      </w:r>
      <w:r>
        <w:t xml:space="preserve"> </w:t>
      </w:r>
      <w:r>
        <w:t xml:space="preserve">direct-entry org records for their NOC-E allocation? What is the</w:t>
      </w:r>
      <w:r>
        <w:t xml:space="preserve"> </w:t>
      </w:r>
      <w:r>
        <w:t xml:space="preserve">real-world scenario? This will inform whether to discourage multiple</w:t>
      </w:r>
      <w:r>
        <w:t xml:space="preserve"> </w:t>
      </w:r>
      <w:r>
        <w:t xml:space="preserve">entries more actively in the Press by Number Guide.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(nominates their staff), OCOG Admin</w:t>
      </w:r>
      <w:r>
        <w:t xml:space="preserve"> </w:t>
      </w:r>
      <w:r>
        <w:t xml:space="preserve">(approves PbN allocation), IOC Admin (sets NOC E quota)</w:t>
      </w:r>
      <w:r>
        <w:t xml:space="preserve"> </w:t>
      </w:r>
      <w:r>
        <w:rPr>
          <w:b/>
          <w:bCs/>
        </w:rPr>
        <w:t xml:space="preserve">NOC input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— ask NOC representatives how they currently handle</w:t>
      </w:r>
      <w:r>
        <w:t xml:space="preserve"> </w:t>
      </w:r>
      <w:r>
        <w:t xml:space="preserve">press attaché nominations.</w:t>
      </w:r>
    </w:p>
    <w:bookmarkEnd w:id="24"/>
    <w:bookmarkStart w:id="25" w:name="X363bad4c468a01225da7302d51c6c5cd0b96059"/>
    <w:p>
      <w:pPr>
        <w:pStyle w:val="Heading3"/>
      </w:pPr>
      <w:r>
        <w:t xml:space="preserve">4.2 IOC-Direct Organisations — Setup and Workflow [EM 2026-04-02]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There are approximately 20 IOC-direct international</w:t>
      </w:r>
      <w:r>
        <w:t xml:space="preserve"> </w:t>
      </w:r>
      <w:r>
        <w:t xml:space="preserve">organisations (AFP, AP, Reuters, Xinhua, etc.) that receive press</w:t>
      </w:r>
      <w:r>
        <w:t xml:space="preserve"> </w:t>
      </w:r>
      <w:r>
        <w:t xml:space="preserve">credentials outside the NOC EoI/PbN track. The portal currently</w:t>
      </w:r>
      <w:r>
        <w:t xml:space="preserve"> </w:t>
      </w:r>
      <w:r>
        <w:t xml:space="preserve">implements a model where the IOC manages these organisations in-app —</w:t>
      </w:r>
      <w:r>
        <w:t xml:space="preserve"> </w:t>
      </w:r>
      <w:r>
        <w:t xml:space="preserve">with an IOC-managed screen for adding/removing orgs and OCOG visibility</w:t>
      </w:r>
      <w:r>
        <w:t xml:space="preserve"> </w:t>
      </w:r>
      <w:r>
        <w:t xml:space="preserve">and approval of IOC-Direct PbN allocations.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In-app IOC management of IOC-Direct organisations is</w:t>
      </w:r>
      <w:r>
        <w:t xml:space="preserve"> </w:t>
      </w:r>
      <w:r>
        <w:t xml:space="preserve">already built and is the preferred workflow, providing full audit trail</w:t>
      </w:r>
      <w:r>
        <w:t xml:space="preserve"> </w:t>
      </w:r>
      <w:r>
        <w:t xml:space="preserve">and OCOG real-time visibility. If IOC/Emma chooses to manage the list</w:t>
      </w:r>
      <w:r>
        <w:t xml:space="preserve"> </w:t>
      </w:r>
      <w:r>
        <w:t xml:space="preserve">offline and enroll organisations directly in ACR, that is an operational</w:t>
      </w:r>
      <w:r>
        <w:t xml:space="preserve"> </w:t>
      </w:r>
      <w:r>
        <w:t xml:space="preserve">choice and requires no system changes. The in-app option remains</w:t>
      </w:r>
      <w:r>
        <w:t xml:space="preserve"> </w:t>
      </w:r>
      <w:r>
        <w:t xml:space="preserve">available.</w:t>
      </w:r>
    </w:p>
    <w:p>
      <w:pPr>
        <w:pStyle w:val="BodyText"/>
      </w:pPr>
      <w:r>
        <w:rPr>
          <w:b/>
          <w:bCs/>
        </w:rPr>
        <w:t xml:space="preserve">Terminology [EM 2026-04-02]:</w:t>
      </w:r>
      <w:r>
        <w:t xml:space="preserve"> </w:t>
      </w:r>
      <w:r>
        <w:t xml:space="preserve">Per the terminology note above,</w:t>
      </w:r>
      <w:r>
        <w:t xml:space="preserve"> </w:t>
      </w:r>
      <w:r>
        <w:t xml:space="preserve">“Responsible Organisation”</w:t>
      </w:r>
      <w:r>
        <w:t xml:space="preserve"> </w:t>
      </w:r>
      <w:r>
        <w:t xml:space="preserve">(not</w:t>
      </w:r>
      <w:r>
        <w:t xml:space="preserve"> </w:t>
      </w:r>
      <w:r>
        <w:t xml:space="preserve">“sponsoring organisation”</w:t>
      </w:r>
      <w:r>
        <w:t xml:space="preserve">) should be</w:t>
      </w:r>
      <w:r>
        <w:t xml:space="preserve"> </w:t>
      </w:r>
      <w:r>
        <w:t xml:space="preserve">used in UI copy relating to IOC-Direct orgs where one organisation acts</w:t>
      </w:r>
      <w:r>
        <w:t xml:space="preserve"> </w:t>
      </w:r>
      <w:r>
        <w:t xml:space="preserve">as the owning body for another.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IOC (holds the list, approves), OCOG Admin</w:t>
      </w:r>
      <w:r>
        <w:t xml:space="preserve"> </w:t>
      </w:r>
      <w:r>
        <w:t xml:space="preserve">(enrolls/imports, has OCOG visibility), Martyn/OCOG (defines import</w:t>
      </w:r>
      <w:r>
        <w:t xml:space="preserve"> </w:t>
      </w:r>
      <w:r>
        <w:t xml:space="preserve">mechanism)</w:t>
      </w:r>
    </w:p>
    <w:bookmarkEnd w:id="25"/>
    <w:bookmarkStart w:id="26" w:name="Xa40a0843dda10ffedf34dacdce1c88d20fdad79"/>
    <w:p>
      <w:pPr>
        <w:pStyle w:val="Heading3"/>
      </w:pPr>
      <w:r>
        <w:t xml:space="preserve">4.3 After the MRP → ACR Handoff — Where Do Edits Live? (Source of Truth)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</w:t>
      </w:r>
    </w:p>
    <w:p>
      <w:pPr>
        <w:pStyle w:val="BodyText"/>
      </w:pPr>
      <w:r>
        <w:rPr>
          <w:b/>
          <w:bCs/>
        </w:rPr>
        <w:t xml:space="preserve">The question in one sentence.</w:t>
      </w:r>
      <w:r>
        <w:t xml:space="preserve"> </w:t>
      </w:r>
      <w:r>
        <w:t xml:space="preserve">After a NOC’s PbN allocations have</w:t>
      </w:r>
      <w:r>
        <w:t xml:space="preserve"> </w:t>
      </w:r>
      <w:r>
        <w:t xml:space="preserve">been handed off from MRP to ACR,</w:t>
      </w:r>
      <w:r>
        <w:t xml:space="preserve"> </w:t>
      </w:r>
      <w:r>
        <w:rPr>
          <w:b/>
          <w:bCs/>
        </w:rPr>
        <w:t xml:space="preserve">where are subsequent changes made</w:t>
      </w:r>
      <w:r>
        <w:t xml:space="preserve"> </w:t>
      </w:r>
      <w:r>
        <w:t xml:space="preserve">— in MRP (and re-sent to ACR), directly in ACR, or in both systems</w:t>
      </w:r>
      <w:r>
        <w:t xml:space="preserve"> </w:t>
      </w:r>
      <w:r>
        <w:t xml:space="preserve">kept in sync?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Model A confirmed. MRP freezes after</w:t>
      </w:r>
      <w:r>
        <w:t xml:space="preserve"> </w:t>
      </w:r>
      <w:r>
        <w:rPr>
          <w:rStyle w:val="VerbatimChar"/>
        </w:rPr>
        <w:t xml:space="preserve">sent_to_acr</w:t>
      </w:r>
      <w:r>
        <w:t xml:space="preserve">;</w:t>
      </w:r>
      <w:r>
        <w:t xml:space="preserve"> </w:t>
      </w:r>
      <w:r>
        <w:t xml:space="preserve">post-handoff changes live in ACR. MRP becomes a historical record only.</w:t>
      </w:r>
      <w:r>
        <w:t xml:space="preserve"> </w:t>
      </w:r>
      <w:r>
        <w:t xml:space="preserve">Any weekly IOC status reporting must pull from ACR, not MRP. Impact on</w:t>
      </w:r>
      <w:r>
        <w:t xml:space="preserve"> </w:t>
      </w:r>
      <w:r>
        <w:t xml:space="preserve">code: current implementation stands.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(where they go to change allocations after</w:t>
      </w:r>
      <w:r>
        <w:t xml:space="preserve"> </w:t>
      </w:r>
      <w:r>
        <w:t xml:space="preserve">handoff), OCOG Admin (where they adjust allocations and generate</w:t>
      </w:r>
      <w:r>
        <w:t xml:space="preserve"> </w:t>
      </w:r>
      <w:r>
        <w:t xml:space="preserve">reports), IOC Admin (where they approve amendments), ACR team (API</w:t>
      </w:r>
      <w:r>
        <w:t xml:space="preserve"> </w:t>
      </w:r>
      <w:r>
        <w:t xml:space="preserve">contract shape depends on the answer).</w:t>
      </w:r>
    </w:p>
    <w:bookmarkEnd w:id="26"/>
    <w:bookmarkStart w:id="27" w:name="X7681e11569f470ecd77884bcd4a2279e38a12ae"/>
    <w:p>
      <w:pPr>
        <w:pStyle w:val="Heading3"/>
      </w:pPr>
      <w:r>
        <w:t xml:space="preserve">4.4 NOC Direct-Entry into PbN — No EoI Required [EM 2026-04-02]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CONFIRMED FEATURE — being built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Emma’s comments (96, 98) and her email describe a pattern</w:t>
      </w:r>
      <w:r>
        <w:t xml:space="preserve"> </w:t>
      </w:r>
      <w:r>
        <w:t xml:space="preserve">that will be supported: some NOCs will not use the EoI form at all and</w:t>
      </w:r>
      <w:r>
        <w:t xml:space="preserve"> </w:t>
      </w:r>
      <w:r>
        <w:t xml:space="preserve">will want to enter organisations directly into their PbN allocation</w:t>
      </w:r>
      <w:r>
        <w:t xml:space="preserve"> </w:t>
      </w:r>
      <w:r>
        <w:t xml:space="preserve">table without any prior EoI record. Emma notes (Comment 98):</w:t>
      </w:r>
      <w:r>
        <w:t xml:space="preserve"> </w:t>
      </w:r>
      <w:r>
        <w:t xml:space="preserve">“There will</w:t>
      </w:r>
      <w:r>
        <w:t xml:space="preserve"> </w:t>
      </w:r>
      <w:r>
        <w:t xml:space="preserve">be press orgs who will not have submitted an EoI that will need to be</w:t>
      </w:r>
      <w:r>
        <w:t xml:space="preserve"> </w:t>
      </w:r>
      <w:r>
        <w:t xml:space="preserve">entered in the PbN stage directly by the NOC.”</w:t>
      </w:r>
      <w:r>
        <w:t xml:space="preserve"> </w:t>
      </w:r>
      <w:r>
        <w:t xml:space="preserve">Her email adds:</w:t>
      </w:r>
      <w:r>
        <w:t xml:space="preserve"> </w:t>
      </w:r>
      <w:r>
        <w:t xml:space="preserve">“some</w:t>
      </w:r>
      <w:r>
        <w:t xml:space="preserve"> </w:t>
      </w:r>
      <w:r>
        <w:t xml:space="preserve">might not use the EoI form, some might enter information directly in the</w:t>
      </w:r>
      <w:r>
        <w:t xml:space="preserve"> </w:t>
      </w:r>
      <w:r>
        <w:t xml:space="preserve">Press by Number form.”</w:t>
      </w:r>
    </w:p>
    <w:p>
      <w:pPr>
        <w:pStyle w:val="BodyText"/>
      </w:pPr>
      <w:r>
        <w:rPr>
          <w:b/>
          <w:bCs/>
        </w:rPr>
        <w:t xml:space="preserve">Concrete example:</w:t>
      </w:r>
      <w:r>
        <w:t xml:space="preserve"> </w:t>
      </w:r>
      <w:r>
        <w:t xml:space="preserve">The NOC press officer for a large European</w:t>
      </w:r>
      <w:r>
        <w:t xml:space="preserve"> </w:t>
      </w:r>
      <w:r>
        <w:t xml:space="preserve">territory knows their national broadcaster will receive PbN slots —</w:t>
      </w:r>
      <w:r>
        <w:t xml:space="preserve"> </w:t>
      </w:r>
      <w:r>
        <w:t xml:space="preserve">they have at every Games for the past 20 years. They never asked the</w:t>
      </w:r>
      <w:r>
        <w:t xml:space="preserve"> </w:t>
      </w:r>
      <w:r>
        <w:t xml:space="preserve">broadcaster to fill out an EoI form. At PbN time, they add them directly</w:t>
      </w:r>
      <w:r>
        <w:t xml:space="preserve"> </w:t>
      </w:r>
      <w:r>
        <w:t xml:space="preserve">to the allocation table. No EoI record is created.</w:t>
      </w:r>
    </w:p>
    <w:p>
      <w:pPr>
        <w:pStyle w:val="BodyText"/>
      </w:pPr>
      <w:r>
        <w:rPr>
          <w:b/>
          <w:bCs/>
        </w:rPr>
        <w:t xml:space="preserve">Confirmed design — direct PbN addition:</w:t>
      </w:r>
    </w:p>
    <w:p>
      <w:pPr>
        <w:pStyle w:val="BodyText"/>
      </w:pPr>
      <w:r>
        <w:t xml:space="preserve">NOC admins will be able to add a new org row directly in the PbN</w:t>
      </w:r>
      <w:r>
        <w:t xml:space="preserve"> </w:t>
      </w:r>
      <w:r>
        <w:t xml:space="preserve">allocation table with no EoI record required. A simple inline form</w:t>
      </w:r>
      <w:r>
        <w:t xml:space="preserve"> </w:t>
      </w:r>
      <w:r>
        <w:t xml:space="preserve">captures the minimum needed to create the org record and add it to the</w:t>
      </w:r>
      <w:r>
        <w:t xml:space="preserve"> </w:t>
      </w:r>
      <w:r>
        <w:t xml:space="preserve">allocation in one step: org name, type, country, and category. The OCOG</w:t>
      </w:r>
      <w:r>
        <w:t xml:space="preserve"> </w:t>
      </w:r>
      <w:r>
        <w:t xml:space="preserve">sees the org in their PbN review and approves (or questions) it there</w:t>
      </w:r>
      <w:r>
        <w:t xml:space="preserve"> </w:t>
      </w:r>
      <w:r>
        <w:t xml:space="preserve">— the same approval flow as any other PbN entry. The OCOG will be able</w:t>
      </w:r>
      <w:r>
        <w:t xml:space="preserve"> </w:t>
      </w:r>
      <w:r>
        <w:t xml:space="preserve">to see which PbN entries had a corresponding EoI record and which were</w:t>
      </w:r>
      <w:r>
        <w:t xml:space="preserve"> </w:t>
      </w:r>
      <w:r>
        <w:t xml:space="preserve">added directly, providing audit visibility without creating a</w:t>
      </w:r>
      <w:r>
        <w:t xml:space="preserve"> </w:t>
      </w:r>
      <w:r>
        <w:t xml:space="preserve">bureaucratic barrier for NOC press officers.</w:t>
      </w:r>
    </w:p>
    <w:p>
      <w:pPr>
        <w:pStyle w:val="BodyText"/>
      </w:pPr>
      <w:r>
        <w:t xml:space="preserve">The quota cap still applies: NOCs cannot add direct-entry orgs past</w:t>
      </w:r>
      <w:r>
        <w:t xml:space="preserve"> </w:t>
      </w:r>
      <w:r>
        <w:t xml:space="preserve">their per-category total. This hard cap is enforced regardless of entry</w:t>
      </w:r>
      <w:r>
        <w:t xml:space="preserve"> </w:t>
      </w:r>
      <w:r>
        <w:t xml:space="preserve">route.</w:t>
      </w:r>
    </w:p>
    <w:p>
      <w:pPr>
        <w:pStyle w:val="BodyText"/>
      </w:pPr>
      <w:r>
        <w:rPr>
          <w:b/>
          <w:bCs/>
        </w:rPr>
        <w:t xml:space="preserve">Note on IFs:</w:t>
      </w:r>
      <w:r>
        <w:t xml:space="preserve"> </w:t>
      </w:r>
      <w:r>
        <w:t xml:space="preserve">This direct PbN entry mechanism also solves the</w:t>
      </w:r>
      <w:r>
        <w:t xml:space="preserve"> </w:t>
      </w:r>
      <w:r>
        <w:t xml:space="preserve">small-IF workflow (see R-4 and the note below).</w:t>
      </w:r>
    </w:p>
    <w:p>
      <w:pPr>
        <w:pStyle w:val="BodyText"/>
      </w:pPr>
      <w:r>
        <w:rPr>
          <w:b/>
          <w:bCs/>
        </w:rPr>
        <w:t xml:space="preserve">Questions for confirmation:</w:t>
      </w:r>
      <w:r>
        <w:t xml:space="preserve"> </w:t>
      </w:r>
      <w:r>
        <w:t xml:space="preserve">1. Please confirm the OCOG is</w:t>
      </w:r>
      <w:r>
        <w:t xml:space="preserve"> </w:t>
      </w:r>
      <w:r>
        <w:t xml:space="preserve">comfortable with orgs appearing in PbN without an EoI trail, provided</w:t>
      </w:r>
      <w:r>
        <w:t xml:space="preserve"> </w:t>
      </w:r>
      <w:r>
        <w:t xml:space="preserve">they can see the distinction. 2. Please confirm the hard quota cap</w:t>
      </w:r>
      <w:r>
        <w:t xml:space="preserve"> </w:t>
      </w:r>
      <w:r>
        <w:t xml:space="preserve">applies equally to direct-entry orgs.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(primary — uses direct entry), OCOG</w:t>
      </w:r>
      <w:r>
        <w:t xml:space="preserve"> </w:t>
      </w:r>
      <w:r>
        <w:t xml:space="preserve">Admin (sees and approves PbN result), IOC Admin (audit visibility)</w:t>
      </w:r>
      <w:r>
        <w:t xml:space="preserve"> </w:t>
      </w:r>
      <w:r>
        <w:rPr>
          <w:b/>
          <w:bCs/>
        </w:rPr>
        <w:t xml:space="preserve">NOC</w:t>
      </w:r>
      <w:r>
        <w:rPr>
          <w:b/>
          <w:bCs/>
        </w:rPr>
        <w:t xml:space="preserve"> </w:t>
      </w:r>
      <w:r>
        <w:rPr>
          <w:b/>
          <w:bCs/>
        </w:rPr>
        <w:t xml:space="preserve">input recommended</w:t>
      </w:r>
      <w:r>
        <w:t xml:space="preserve"> </w:t>
      </w:r>
      <w:r>
        <w:t xml:space="preserve">— ask a NOC press officer whether the inline form</w:t>
      </w:r>
      <w:r>
        <w:t xml:space="preserve"> </w:t>
      </w:r>
      <w:r>
        <w:t xml:space="preserve">approach (org name, type, country, category in one step) is simple</w:t>
      </w:r>
      <w:r>
        <w:t xml:space="preserve"> </w:t>
      </w:r>
      <w:r>
        <w:t xml:space="preserve">enough for busy press officers.</w:t>
      </w:r>
    </w:p>
    <w:bookmarkEnd w:id="27"/>
    <w:bookmarkStart w:id="28" w:name="X29a9e3a620fc863025f6493a2e31d1f53e08736"/>
    <w:p>
      <w:pPr>
        <w:pStyle w:val="Heading3"/>
      </w:pPr>
      <w:r>
        <w:t xml:space="preserve">4.5 PbN Excel Import/Sync — Reconciling Offline Excel Workflow with the Portal [EM 2026-04-13]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Emma’s 2026-04-13 feedback notes that</w:t>
      </w:r>
      <w:r>
        <w:t xml:space="preserve"> </w:t>
      </w:r>
      <w:r>
        <w:t xml:space="preserve">“working out these</w:t>
      </w:r>
      <w:r>
        <w:t xml:space="preserve"> </w:t>
      </w:r>
      <w:r>
        <w:t xml:space="preserve">quotas may take some time for the big NOCs such as the USOPC. They will</w:t>
      </w:r>
      <w:r>
        <w:t xml:space="preserve"> </w:t>
      </w:r>
      <w:r>
        <w:t xml:space="preserve">have around 500 accreditations to grant in E, Es, EP, Eps etc categories</w:t>
      </w:r>
      <w:r>
        <w:t xml:space="preserve"> </w:t>
      </w:r>
      <w:r>
        <w:t xml:space="preserve">and need to look at all the applications once the EoI is over. I know</w:t>
      </w:r>
      <w:r>
        <w:t xml:space="preserve"> </w:t>
      </w:r>
      <w:r>
        <w:t xml:space="preserve">that the USOPC does this allocation offline via an Excel spreadsheet as</w:t>
      </w:r>
      <w:r>
        <w:t xml:space="preserve"> </w:t>
      </w:r>
      <w:r>
        <w:t xml:space="preserve">he said that it was easier for him to manage.”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Option D+ adopted. MRP is the source of truth throughout</w:t>
      </w:r>
      <w:r>
        <w:t xml:space="preserve"> </w:t>
      </w:r>
      <w:r>
        <w:t xml:space="preserve">the PbN phase. Portal will provide: (a) export of a standard</w:t>
      </w:r>
      <w:r>
        <w:t xml:space="preserve"> </w:t>
      </w:r>
      <w:r>
        <w:t xml:space="preserve">CSV/spreadsheet template pre-populated with quotas and org list in the</w:t>
      </w:r>
      <w:r>
        <w:t xml:space="preserve"> </w:t>
      </w:r>
      <w:r>
        <w:t xml:space="preserve">IOC Master DB shape; (b) full-overlay reimport — import replaces the</w:t>
      </w:r>
      <w:r>
        <w:t xml:space="preserve"> </w:t>
      </w:r>
      <w:r>
        <w:t xml:space="preserve">full allocation; (c) optional clipboard paste for mass entry. No partial</w:t>
      </w:r>
      <w:r>
        <w:t xml:space="preserve"> </w:t>
      </w:r>
      <w:r>
        <w:t xml:space="preserve">row merges.</w:t>
      </w:r>
    </w:p>
    <w:p>
      <w:pPr>
        <w:pStyle w:val="BodyText"/>
      </w:pPr>
      <w:r>
        <w:t xml:space="preserve">The app remains fully functional for all NOC sizes; Excel is</w:t>
      </w:r>
      <w:r>
        <w:t xml:space="preserve"> </w:t>
      </w:r>
      <w:r>
        <w:t xml:space="preserve">accommodated, not required. The stated direction from the Strategic Plan</w:t>
      </w:r>
      <w:r>
        <w:t xml:space="preserve"> </w:t>
      </w:r>
      <w:r>
        <w:t xml:space="preserve">(MRP replaces Excel templates) stands; large NOCs who prefer Excel can</w:t>
      </w:r>
      <w:r>
        <w:t xml:space="preserve"> </w:t>
      </w:r>
      <w:r>
        <w:t xml:space="preserve">export-edit-import.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(especially large NOCs), IOC Admin (Master</w:t>
      </w:r>
      <w:r>
        <w:t xml:space="preserve"> </w:t>
      </w:r>
      <w:r>
        <w:t xml:space="preserve">DB owner), OCOG Admin (reporting recipient)</w:t>
      </w:r>
      <w:r>
        <w:t xml:space="preserve"> </w:t>
      </w:r>
      <w:r>
        <w:rPr>
          <w:b/>
          <w:bCs/>
        </w:rPr>
        <w:t xml:space="preserve">NOC input strongly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— a 15-minute conversation with the USOPC press officer</w:t>
      </w:r>
      <w:r>
        <w:t xml:space="preserve"> </w:t>
      </w:r>
      <w:r>
        <w:t xml:space="preserve">about their actual Excel workflow would resolve most of the above</w:t>
      </w:r>
      <w:r>
        <w:t xml:space="preserve"> </w:t>
      </w:r>
      <w:r>
        <w:t xml:space="preserve">questions.</w:t>
      </w:r>
    </w:p>
    <w:bookmarkEnd w:id="28"/>
    <w:bookmarkEnd w:id="29"/>
    <w:bookmarkStart w:id="32" w:name="enr-extended-non-rights-broadcasters"/>
    <w:p>
      <w:pPr>
        <w:pStyle w:val="Heading2"/>
      </w:pPr>
      <w:r>
        <w:t xml:space="preserve">5. ENR — Extended Non-Rights Broadcasters</w:t>
      </w:r>
    </w:p>
    <w:p>
      <w:pPr>
        <w:pStyle w:val="FirstParagraph"/>
      </w:pPr>
      <w:r>
        <w:t xml:space="preserve">These questions relate to the separate ENR track, where NOCs nominate</w:t>
      </w:r>
      <w:r>
        <w:t xml:space="preserve"> </w:t>
      </w:r>
      <w:r>
        <w:t xml:space="preserve">broadcasters without Olympic media rights and the IOC grants allocations</w:t>
      </w:r>
      <w:r>
        <w:t xml:space="preserve"> </w:t>
      </w:r>
      <w:r>
        <w:t xml:space="preserve">from a holdback pool. ENR is one of the carved-out areas where the IOC</w:t>
      </w:r>
      <w:r>
        <w:t xml:space="preserve"> </w:t>
      </w:r>
      <w:r>
        <w:t xml:space="preserve">is the direct decision-maker (not the OCOG).</w:t>
      </w:r>
    </w:p>
    <w:bookmarkStart w:id="30" w:name="enr-process-remaining-open-questions"/>
    <w:p>
      <w:pPr>
        <w:pStyle w:val="Heading3"/>
      </w:pPr>
      <w:r>
        <w:t xml:space="preserve">5.1 ENR Process — Remaining Open Questions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awaiting stakeholder confirmation before build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NOC submits a prioritised list of five ENR organisations</w:t>
      </w:r>
      <w:r>
        <w:t xml:space="preserve"> </w:t>
      </w:r>
      <w:r>
        <w:t xml:space="preserve">to the IOC. The IOC reviews the list and grants allocations from the</w:t>
      </w:r>
      <w:r>
        <w:t xml:space="preserve"> </w:t>
      </w:r>
      <w:r>
        <w:t xml:space="preserve">holdback pool — Organisation A gets the full 20 slots requested,</w:t>
      </w:r>
      <w:r>
        <w:t xml:space="preserve"> </w:t>
      </w:r>
      <w:r>
        <w:t xml:space="preserve">Organisation B gets a partial grant of 10 (out of 22 requested), and</w:t>
      </w:r>
      <w:r>
        <w:t xml:space="preserve"> </w:t>
      </w:r>
      <w:r>
        <w:t xml:space="preserve">Organisation C is denied. The NOC sees the IOC’s per-org decisions. The</w:t>
      </w:r>
      <w:r>
        <w:t xml:space="preserve"> </w:t>
      </w:r>
      <w:r>
        <w:t xml:space="preserve">core process is built and tested.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ENR pool size is IOC-configurable via the quota</w:t>
      </w:r>
      <w:r>
        <w:t xml:space="preserve"> </w:t>
      </w:r>
      <w:r>
        <w:t xml:space="preserve">table/import (same mechanism as regular category quotas — not</w:t>
      </w:r>
      <w:r>
        <w:t xml:space="preserve"> </w:t>
      </w:r>
      <w:r>
        <w:t xml:space="preserve">hardcoded at 350). ENR organisations may self-apply via the public EoI</w:t>
      </w:r>
      <w:r>
        <w:t xml:space="preserve"> </w:t>
      </w:r>
      <w:r>
        <w:t xml:space="preserve">form;</w:t>
      </w:r>
      <w:r>
        <w:t xml:space="preserve"> </w:t>
      </w:r>
      <w:r>
        <w:t xml:space="preserve">“ENR”</w:t>
      </w:r>
      <w:r>
        <w:t xml:space="preserve"> </w:t>
      </w:r>
      <w:r>
        <w:t xml:space="preserve">will be added as a selectable organisation type. ENR</w:t>
      </w:r>
      <w:r>
        <w:t xml:space="preserve"> </w:t>
      </w:r>
      <w:r>
        <w:t xml:space="preserve">applications route to the NOC queue; the NOC may approve, reject, or</w:t>
      </w:r>
      <w:r>
        <w:t xml:space="preserve"> </w:t>
      </w:r>
      <w:r>
        <w:t xml:space="preserve">priority-rank ENR organisations. After EoI close, the NOC submits a</w:t>
      </w:r>
      <w:r>
        <w:t xml:space="preserve"> </w:t>
      </w:r>
      <w:r>
        <w:t xml:space="preserve">prioritised list to the IOC.</w:t>
      </w:r>
    </w:p>
    <w:p>
      <w:pPr>
        <w:pStyle w:val="BodyText"/>
      </w:pPr>
      <w:r>
        <w:t xml:space="preserve">The IOC allocation screen will be a cross-NOC combined view (default)</w:t>
      </w:r>
      <w:r>
        <w:t xml:space="preserve"> </w:t>
      </w:r>
      <w:r>
        <w:t xml:space="preserve">showing all NOC ENR nominations, filterable and sortable, with a running</w:t>
      </w:r>
      <w:r>
        <w:t xml:space="preserve"> </w:t>
      </w:r>
      <w:r>
        <w:t xml:space="preserve">total against the configurable pool size.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(submits ENR list, may see ENR</w:t>
      </w:r>
      <w:r>
        <w:t xml:space="preserve"> </w:t>
      </w:r>
      <w:r>
        <w:t xml:space="preserve">self-applications), IOC Admin (makes grant decisions, needs multi-NOC</w:t>
      </w:r>
      <w:r>
        <w:t xml:space="preserve"> </w:t>
      </w:r>
      <w:r>
        <w:t xml:space="preserve">combined view), ENR organisations (potential self-applicants)</w:t>
      </w:r>
    </w:p>
    <w:bookmarkEnd w:id="30"/>
    <w:bookmarkStart w:id="31" w:name="X65f496ab2070268b2fc21155e6847fac36e00a5"/>
    <w:p>
      <w:pPr>
        <w:pStyle w:val="Heading3"/>
      </w:pPr>
      <w:r>
        <w:t xml:space="preserve">5.2 ENR Undertaking — Legal Mechanism [EM 2026-04-02]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DEFERRED — out of scope until IOC News Access Rules finalised</w:t>
      </w:r>
    </w:p>
    <w:p>
      <w:pPr>
        <w:pStyle w:val="BodyText"/>
      </w:pPr>
      <w:r>
        <w:rPr>
          <w:b/>
          <w:bCs/>
        </w:rPr>
        <w:t xml:space="preserve">Updated timing [EM 2026-04-02]:</w:t>
      </w:r>
      <w:r>
        <w:t xml:space="preserve"> </w:t>
      </w:r>
      <w:r>
        <w:t xml:space="preserve">Emma confirms (Comment 120) that</w:t>
      </w:r>
      <w:r>
        <w:t xml:space="preserve"> </w:t>
      </w:r>
      <w:r>
        <w:t xml:space="preserve">the ENR undertaking will be needed later in the process — at the Press</w:t>
      </w:r>
      <w:r>
        <w:t xml:space="preserve"> </w:t>
      </w:r>
      <w:r>
        <w:t xml:space="preserve">by Name stage, not at the ENR nomination or grant stage (per Emma</w:t>
      </w:r>
      <w:r>
        <w:t xml:space="preserve"> </w:t>
      </w:r>
      <w:r>
        <w:t xml:space="preserve">Morris, IOC, 2026-04-02). IOC News Access Rules must be finalised before</w:t>
      </w:r>
      <w:r>
        <w:t xml:space="preserve"> </w:t>
      </w:r>
      <w:r>
        <w:t xml:space="preserve">the undertaking text can be drafted. This is out of scope for v1.1.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ENR undertaking will be needed at the Press by Name</w:t>
      </w:r>
      <w:r>
        <w:t xml:space="preserve"> </w:t>
      </w:r>
      <w:r>
        <w:t xml:space="preserve">stage, not at ENR nomination or grant stage. IOC News Access Rules must</w:t>
      </w:r>
      <w:r>
        <w:t xml:space="preserve"> </w:t>
      </w:r>
      <w:r>
        <w:t xml:space="preserve">be finalised before the undertaking text can be drafted. This is out of</w:t>
      </w:r>
      <w:r>
        <w:t xml:space="preserve"> </w:t>
      </w:r>
      <w:r>
        <w:t xml:space="preserve">scope for v1.1.</w:t>
      </w:r>
    </w:p>
    <w:p>
      <w:pPr>
        <w:pStyle w:val="BodyText"/>
      </w:pPr>
      <w:r>
        <w:rPr>
          <w:b/>
          <w:bCs/>
        </w:rPr>
        <w:t xml:space="preserve">Open question:</w:t>
      </w:r>
      <w:r>
        <w:t xml:space="preserve"> </w:t>
      </w:r>
      <w:r>
        <w:t xml:space="preserve">Since the undertaking is required at Press by Name</w:t>
      </w:r>
      <w:r>
        <w:t xml:space="preserve"> </w:t>
      </w:r>
      <w:r>
        <w:t xml:space="preserve">stage (which is handled in ACR in 2027), should this feature be scoped</w:t>
      </w:r>
      <w:r>
        <w:t xml:space="preserve"> </w:t>
      </w:r>
      <w:r>
        <w:t xml:space="preserve">as an ACR deliverable rather than an MRP deliverable? Awaiting IOC</w:t>
      </w:r>
      <w:r>
        <w:t xml:space="preserve"> </w:t>
      </w:r>
      <w:r>
        <w:t xml:space="preserve">clarification.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Before an ENR organisation can receive accreditation, they</w:t>
      </w:r>
      <w:r>
        <w:t xml:space="preserve"> </w:t>
      </w:r>
      <w:r>
        <w:t xml:space="preserve">must sign an undertaking acknowledging specific terms. This is currently</w:t>
      </w:r>
      <w:r>
        <w:t xml:space="preserve"> </w:t>
      </w:r>
      <w:r>
        <w:t xml:space="preserve">handled outside the portal via Adobe Acrobat.</w:t>
      </w:r>
    </w:p>
    <w:p>
      <w:pPr>
        <w:pStyle w:val="BodyText"/>
      </w:pPr>
      <w:r>
        <w:rPr>
          <w:b/>
          <w:bCs/>
        </w:rPr>
        <w:t xml:space="preserve">Three options — for when this is in scope: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 A (typed name):</w:t>
      </w:r>
      <w:r>
        <w:t xml:space="preserve"> </w:t>
      </w:r>
      <w:r>
        <w:t xml:space="preserve">The signatory types their full legal name,</w:t>
      </w:r>
      <w:r>
        <w:t xml:space="preserve"> </w:t>
      </w:r>
      <w:r>
        <w:t xml:space="preserve">checks a consent box, and the system records a timestamp and IP</w:t>
      </w:r>
      <w:r>
        <w:t xml:space="preserve"> </w:t>
      </w:r>
      <w:r>
        <w:t xml:space="preserve">address. A PDF receipt is emailed. This is a small amount of</w:t>
      </w:r>
      <w:r>
        <w:t xml:space="preserve"> </w:t>
      </w:r>
      <w:r>
        <w:t xml:space="preserve">development effort.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 B (DocuSign-grade):</w:t>
      </w:r>
      <w:r>
        <w:t xml:space="preserve"> </w:t>
      </w:r>
      <w:r>
        <w:t xml:space="preserve">A full e-signature flow with</w:t>
      </w:r>
      <w:r>
        <w:t xml:space="preserve"> </w:t>
      </w:r>
      <w:r>
        <w:t xml:space="preserve">cryptographic proof. Required only if IOC Legal determines typed-name</w:t>
      </w:r>
      <w:r>
        <w:t xml:space="preserve"> </w:t>
      </w:r>
      <w:r>
        <w:t xml:space="preserve">is insufficient. This is significantly more investment than Path A,</w:t>
      </w:r>
      <w:r>
        <w:t xml:space="preserve"> </w:t>
      </w:r>
      <w:r>
        <w:t xml:space="preserve">though Path A work is not discarded.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 C (external process):</w:t>
      </w:r>
      <w:r>
        <w:t xml:space="preserve"> </w:t>
      </w:r>
      <w:r>
        <w:t xml:space="preserve">Continue using Adobe Acrobat outside</w:t>
      </w:r>
      <w:r>
        <w:t xml:space="preserve"> </w:t>
      </w:r>
      <w:r>
        <w:t xml:space="preserve">the portal. Zero development effort, but the undertaking remains</w:t>
      </w:r>
      <w:r>
        <w:t xml:space="preserve"> </w:t>
      </w:r>
      <w:r>
        <w:t xml:space="preserve">disconnected from the portal workflow and requires manual tracking.</w:t>
      </w:r>
    </w:p>
    <w:p>
      <w:pPr>
        <w:pStyle w:val="FirstParagraph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ENR organisations (sign the undertaking), IOC Legal</w:t>
      </w:r>
      <w:r>
        <w:t xml:space="preserve"> </w:t>
      </w:r>
      <w:r>
        <w:t xml:space="preserve">(determines the mechanism), IOC Admin (manages ENR workflow)</w:t>
      </w:r>
    </w:p>
    <w:bookmarkEnd w:id="31"/>
    <w:bookmarkEnd w:id="32"/>
    <w:bookmarkStart w:id="41" w:name="governance-integration"/>
    <w:p>
      <w:pPr>
        <w:pStyle w:val="Heading2"/>
      </w:pPr>
      <w:r>
        <w:t xml:space="preserve">6. Governance &amp; Integration</w:t>
      </w:r>
    </w:p>
    <w:bookmarkStart w:id="33" w:name="raci-who-owns-what"/>
    <w:p>
      <w:pPr>
        <w:pStyle w:val="Heading3"/>
      </w:pPr>
      <w:r>
        <w:t xml:space="preserve">6.1 RACI — Who Owns What?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critical gap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Three parties are involved in the portal: the IOC</w:t>
      </w:r>
      <w:r>
        <w:t xml:space="preserve"> </w:t>
      </w:r>
      <w:r>
        <w:t xml:space="preserve">(oversees the process and owns specific decision authority for ENR,</w:t>
      </w:r>
      <w:r>
        <w:t xml:space="preserve"> </w:t>
      </w:r>
      <w:r>
        <w:t xml:space="preserve">IOC-Direct, and quotas), LA28/OCOG (primary operational authority —</w:t>
      </w:r>
      <w:r>
        <w:t xml:space="preserve"> </w:t>
      </w:r>
      <w:r>
        <w:t xml:space="preserve">approves PbN, cross-NOC review), and D.TEC (builds and operates the</w:t>
      </w:r>
      <w:r>
        <w:t xml:space="preserve"> </w:t>
      </w:r>
      <w:r>
        <w:t xml:space="preserve">portal).</w:t>
      </w:r>
    </w:p>
    <w:p>
      <w:pPr>
        <w:pStyle w:val="BodyText"/>
      </w:pPr>
      <w:r>
        <w:t xml:space="preserve">No RACI document exists. This creates risk around: who signs off on form</w:t>
      </w:r>
      <w:r>
        <w:t xml:space="preserve"> </w:t>
      </w:r>
      <w:r>
        <w:t xml:space="preserve">field changes? Who provisions NOC admin accounts? Who owns the</w:t>
      </w:r>
      <w:r>
        <w:t xml:space="preserve"> </w:t>
      </w:r>
      <w:r>
        <w:t xml:space="preserve">production infrastructure? Who responds to a production incident at 2am?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A one-page RACI covering: - EoI form field ownership</w:t>
      </w:r>
      <w:r>
        <w:t xml:space="preserve"> </w:t>
      </w:r>
      <w:r>
        <w:t xml:space="preserve">(who decides what fields are on the form?) - PbN approval authority</w:t>
      </w:r>
      <w:r>
        <w:t xml:space="preserve"> </w:t>
      </w:r>
      <w:r>
        <w:t xml:space="preserve">(OCOG confirmed, but who handles escalations?) - ENR grant authority</w:t>
      </w:r>
      <w:r>
        <w:t xml:space="preserve"> </w:t>
      </w:r>
      <w:r>
        <w:t xml:space="preserve">(IOC confirmed) - NOC onboarding and account provisioning - Production</w:t>
      </w:r>
      <w:r>
        <w:t xml:space="preserve"> </w:t>
      </w:r>
      <w:r>
        <w:t xml:space="preserve">incident response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All roles — this is a governance question</w:t>
      </w:r>
    </w:p>
    <w:bookmarkEnd w:id="33"/>
    <w:bookmarkStart w:id="34" w:name="common-codes-lookup-and-coding-trigger"/>
    <w:p>
      <w:pPr>
        <w:pStyle w:val="Heading3"/>
      </w:pPr>
      <w:r>
        <w:t xml:space="preserve">6.2 Common Codes — Lookup and Coding Trigger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needs D.TEC internal alignment + OCOG input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When a media organisation is approved in MRP, it</w:t>
      </w:r>
      <w:r>
        <w:t xml:space="preserve"> </w:t>
      </w:r>
      <w:r>
        <w:t xml:space="preserve">eventually needs an entry in Common Codes — the shared organisation</w:t>
      </w:r>
      <w:r>
        <w:t xml:space="preserve"> </w:t>
      </w:r>
      <w:r>
        <w:t xml:space="preserve">registry used across all accreditation systems. Common Codes assigns</w:t>
      </w:r>
      <w:r>
        <w:t xml:space="preserve"> </w:t>
      </w:r>
      <w:r>
        <w:t xml:space="preserve">each org an official code used by downstream applications (AMS, ADS,</w:t>
      </w:r>
      <w:r>
        <w:t xml:space="preserve"> </w:t>
      </w:r>
      <w:r>
        <w:t xml:space="preserve">Rate Card, ACR).</w:t>
      </w:r>
    </w:p>
    <w:p>
      <w:pPr>
        <w:pStyle w:val="BodyText"/>
      </w:pPr>
      <w:r>
        <w:t xml:space="preserve">MRP does not assign Common Codes. The question is how the two systems</w:t>
      </w:r>
      <w:r>
        <w:t xml:space="preserve"> </w:t>
      </w:r>
      <w:r>
        <w:t xml:space="preserve">connect: -</w:t>
      </w:r>
      <w:r>
        <w:t xml:space="preserve"> </w:t>
      </w:r>
      <w:r>
        <w:rPr>
          <w:b/>
          <w:bCs/>
        </w:rPr>
        <w:t xml:space="preserve">At submission time:</w:t>
      </w:r>
      <w:r>
        <w:t xml:space="preserve"> </w:t>
      </w:r>
      <w:r>
        <w:t xml:space="preserve">Should MRP look up existing Common</w:t>
      </w:r>
      <w:r>
        <w:t xml:space="preserve"> </w:t>
      </w:r>
      <w:r>
        <w:t xml:space="preserve">Codes entries when an org submits their EoI (to pre-fill data and link</w:t>
      </w:r>
      <w:r>
        <w:t xml:space="preserve"> </w:t>
      </w:r>
      <w:r>
        <w:t xml:space="preserve">to an existing record)? -</w:t>
      </w:r>
      <w:r>
        <w:t xml:space="preserve"> </w:t>
      </w:r>
      <w:r>
        <w:rPr>
          <w:b/>
          <w:bCs/>
        </w:rPr>
        <w:t xml:space="preserve">At approval time:</w:t>
      </w:r>
      <w:r>
        <w:t xml:space="preserve"> </w:t>
      </w:r>
      <w:r>
        <w:t xml:space="preserve">When a NOC approves an</w:t>
      </w:r>
      <w:r>
        <w:t xml:space="preserve"> </w:t>
      </w:r>
      <w:r>
        <w:t xml:space="preserve">application, should MRP trigger the Common Codes coding workflow via an</w:t>
      </w:r>
      <w:r>
        <w:t xml:space="preserve"> </w:t>
      </w:r>
      <w:r>
        <w:t xml:space="preserve">API call? Or does OCOG ACR staff manually initiate the coding in a</w:t>
      </w:r>
      <w:r>
        <w:t xml:space="preserve"> </w:t>
      </w:r>
      <w:r>
        <w:t xml:space="preserve">separate system?</w:t>
      </w:r>
    </w:p>
    <w:p>
      <w:pPr>
        <w:pStyle w:val="BodyText"/>
      </w:pPr>
      <w:r>
        <w:t xml:space="preserve">This is primarily a D.TEC internal question, but the OCOG may have</w:t>
      </w:r>
      <w:r>
        <w:t xml:space="preserve"> </w:t>
      </w:r>
      <w:r>
        <w:t xml:space="preserve">operational input on whether the coding workflow should be triggered</w:t>
      </w:r>
      <w:r>
        <w:t xml:space="preserve"> </w:t>
      </w:r>
      <w:r>
        <w:t xml:space="preserve">automatically or manually.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A decision on the integration direction, and if lookup</w:t>
      </w:r>
      <w:r>
        <w:t xml:space="preserve"> </w:t>
      </w:r>
      <w:r>
        <w:t xml:space="preserve">is desired, the lookup API specification (search by org name? domain?</w:t>
      </w:r>
      <w:r>
        <w:t xml:space="preserve"> </w:t>
      </w:r>
      <w:r>
        <w:t xml:space="preserve">country?).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OCOG Admin (may initiate coding manually)</w:t>
      </w:r>
    </w:p>
    <w:bookmarkEnd w:id="34"/>
    <w:bookmarkStart w:id="35" w:name="X2cbfc5e7eaf04f0a54b43a98af6b6e216c41d8b"/>
    <w:p>
      <w:pPr>
        <w:pStyle w:val="Heading3"/>
      </w:pPr>
      <w:r>
        <w:t xml:space="preserve">6.3 Dedup Policy — Fail Open, Prevent Duplicates Reaching ACR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PARTIALLY CLOSED — 2026-04-17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When an applicant submits an EoI, the system checks</w:t>
      </w:r>
      <w:r>
        <w:t xml:space="preserve"> </w:t>
      </w:r>
      <w:r>
        <w:t xml:space="preserve">whether their organisation already exists (duplicate detection). If the</w:t>
      </w:r>
      <w:r>
        <w:t xml:space="preserve"> </w:t>
      </w:r>
      <w:r>
        <w:t xml:space="preserve">dedup check is slow or times out, the system accepts the application</w:t>
      </w:r>
      <w:r>
        <w:t xml:space="preserve"> </w:t>
      </w:r>
      <w:r>
        <w:t xml:space="preserve">anyway (fail open) — we do not block applicants due to a system issue.</w:t>
      </w:r>
    </w:p>
    <w:p>
      <w:pPr>
        <w:pStyle w:val="BodyText"/>
      </w:pPr>
      <w:r>
        <w:rPr>
          <w:b/>
          <w:bCs/>
        </w:rPr>
        <w:t xml:space="preserve">Resolution (confirmed):</w:t>
      </w:r>
      <w:r>
        <w:t xml:space="preserve"> </w:t>
      </w:r>
      <w:r>
        <w:t xml:space="preserve">Fail-open at submission — all applications</w:t>
      </w:r>
      <w:r>
        <w:t xml:space="preserve"> </w:t>
      </w:r>
      <w:r>
        <w:t xml:space="preserve">are accepted regardless of duplicate check timing. Background detection</w:t>
      </w:r>
      <w:r>
        <w:t xml:space="preserve"> </w:t>
      </w:r>
      <w:r>
        <w:t xml:space="preserve">flags pairs for review.</w:t>
      </w:r>
    </w:p>
    <w:p>
      <w:pPr>
        <w:pStyle w:val="BodyText"/>
      </w:pPr>
      <w:r>
        <w:rPr>
          <w:b/>
          <w:bCs/>
        </w:rPr>
        <w:t xml:space="preserve">Known gap:</w:t>
      </w:r>
      <w:r>
        <w:t xml:space="preserve"> </w:t>
      </w:r>
      <w:r>
        <w:t xml:space="preserve">Unresolved duplicate flags are soft warnings — if a NOC</w:t>
      </w:r>
      <w:r>
        <w:t xml:space="preserve"> </w:t>
      </w:r>
      <w:r>
        <w:t xml:space="preserve">assigns allocations to both flagged orgs without resolving the flag,</w:t>
      </w:r>
      <w:r>
        <w:t xml:space="preserve"> </w:t>
      </w:r>
      <w:r>
        <w:t xml:space="preserve">both records will flow to ACR. Whether to add a hard block at OCOG PbN</w:t>
      </w:r>
      <w:r>
        <w:t xml:space="preserve"> </w:t>
      </w:r>
      <w:r>
        <w:t xml:space="preserve">approval for unresolved pairs is an open question (see 6.2/6.3 gap</w:t>
      </w:r>
      <w:r>
        <w:t xml:space="preserve"> </w:t>
      </w:r>
      <w:r>
        <w:t xml:space="preserve">below).</w:t>
      </w:r>
    </w:p>
    <w:p>
      <w:pPr>
        <w:pStyle w:val="BodyText"/>
      </w:pPr>
      <w:r>
        <w:rPr>
          <w:b/>
          <w:bCs/>
        </w:rPr>
        <w:t xml:space="preserve">Open question:</w:t>
      </w:r>
      <w:r>
        <w:t xml:space="preserve"> </w:t>
      </w:r>
      <w:r>
        <w:t xml:space="preserve">Whether unresolved duplicate pairs should trigger a</w:t>
      </w:r>
      <w:r>
        <w:t xml:space="preserve"> </w:t>
      </w:r>
      <w:r>
        <w:t xml:space="preserve">hard block at OCOG PbN approval is an open question pending the 6.2</w:t>
      </w:r>
      <w:r>
        <w:t xml:space="preserve"> </w:t>
      </w:r>
      <w:r>
        <w:t xml:space="preserve">Common Codes / org-identity strategy discussion.</w:t>
      </w:r>
    </w:p>
    <w:p>
      <w:pPr>
        <w:pStyle w:val="BlockText"/>
      </w:pPr>
      <w:r>
        <w:rPr>
          <w:b/>
          <w:bCs/>
        </w:rPr>
        <w:t xml:space="preserve">Dependency note:</w:t>
      </w:r>
      <w:r>
        <w:t xml:space="preserve"> </w:t>
      </w:r>
      <w:r>
        <w:t xml:space="preserve">This policy relies on Cross-NOC Duplicate</w:t>
      </w:r>
      <w:r>
        <w:t xml:space="preserve"> </w:t>
      </w:r>
      <w:r>
        <w:t xml:space="preserve">Detection (section 2.4) being active. Cross-NOC detection is now</w:t>
      </w:r>
      <w:r>
        <w:t xml:space="preserve"> </w:t>
      </w:r>
      <w:r>
        <w:t xml:space="preserve">implemented and active per section 2.4.</w:t>
      </w:r>
    </w:p>
    <w:p>
      <w:pPr>
        <w:pStyle w:val="FirstParagraph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Applicant (always gets through), NOC Admin (reviews</w:t>
      </w:r>
      <w:r>
        <w:t xml:space="preserve"> </w:t>
      </w:r>
      <w:r>
        <w:t xml:space="preserve">flagged duplicates), OCOG Admin (final authority on dedup resolution)</w:t>
      </w:r>
    </w:p>
    <w:bookmarkEnd w:id="35"/>
    <w:bookmarkStart w:id="39" w:name="Xf2bd63ff53cf689109f77485083167328436f6e"/>
    <w:p>
      <w:pPr>
        <w:pStyle w:val="Heading3"/>
      </w:pPr>
      <w:r>
        <w:t xml:space="preserve">6.4 NOC Onboarding and System Manual [EM 2026-04-02]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three separate governance questions with different</w:t>
      </w:r>
      <w:r>
        <w:t xml:space="preserve"> </w:t>
      </w:r>
      <w:r>
        <w:t xml:space="preserve">owners and lead times (split below)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Emma asks (Comment 185):</w:t>
      </w:r>
      <w:r>
        <w:t xml:space="preserve"> </w:t>
      </w:r>
      <w:r>
        <w:t xml:space="preserve">“As the NOCs will need to be</w:t>
      </w:r>
      <w:r>
        <w:t xml:space="preserve"> </w:t>
      </w:r>
      <w:r>
        <w:t xml:space="preserve">onboarded on to the ACR system, will LA28ACR onboard them? A manual will</w:t>
      </w:r>
      <w:r>
        <w:t xml:space="preserve"> </w:t>
      </w:r>
      <w:r>
        <w:t xml:space="preserve">need to be planned to help the NOCs. Will the system be set up in French</w:t>
      </w:r>
      <w:r>
        <w:t xml:space="preserve"> </w:t>
      </w:r>
      <w:r>
        <w:t xml:space="preserve">too.”</w:t>
      </w:r>
      <w:r>
        <w:t xml:space="preserve"> </w:t>
      </w:r>
      <w:r>
        <w:t xml:space="preserve">These are governance questions that need answers before launch.</w:t>
      </w:r>
    </w:p>
    <w:bookmarkStart w:id="36" w:name="Xbe1fee1b443bb90bdfafc336ad1227314d10eaf"/>
    <w:p>
      <w:pPr>
        <w:pStyle w:val="Heading4"/>
      </w:pPr>
      <w:r>
        <w:t xml:space="preserve">6.4a — Account Provisioning (technical/ops decision)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needs OCOG confirmation</w:t>
      </w:r>
    </w:p>
    <w:p>
      <w:pPr>
        <w:pStyle w:val="BodyText"/>
      </w:pPr>
      <w:r>
        <w:t xml:space="preserve">Who is responsible for provisioning NOC admin accounts — provisioning</w:t>
      </w:r>
      <w:r>
        <w:t xml:space="preserve"> </w:t>
      </w:r>
      <w:r>
        <w:t xml:space="preserve">credentials, communicating login details, and providing initial</w:t>
      </w:r>
      <w:r>
        <w:t xml:space="preserve"> </w:t>
      </w:r>
      <w:r>
        <w:t xml:space="preserve">guidance? Is this D.TEC, OCOG, or IOC? This must be resolved before</w:t>
      </w:r>
      <w:r>
        <w:t xml:space="preserve"> </w:t>
      </w:r>
      <w:r>
        <w:t xml:space="preserve">pilot testing (6.5) can begin, and has a direct lead time: 206 NOC</w:t>
      </w:r>
      <w:r>
        <w:t xml:space="preserve"> </w:t>
      </w:r>
      <w:r>
        <w:t xml:space="preserve">accounts must exist before August 24.</w:t>
      </w:r>
    </w:p>
    <w:p>
      <w:pPr>
        <w:pStyle w:val="BodyText"/>
      </w:pPr>
      <w:r>
        <w:rPr>
          <w:b/>
          <w:bCs/>
        </w:rPr>
        <w:t xml:space="preserve">Answer needed from:</w:t>
      </w:r>
      <w:r>
        <w:t xml:space="preserve"> </w:t>
      </w:r>
      <w:r>
        <w:t xml:space="preserve">Martyn (OCOG)</w:t>
      </w:r>
    </w:p>
    <w:bookmarkEnd w:id="36"/>
    <w:bookmarkStart w:id="37" w:name="b-user-manual-content-owner-decision"/>
    <w:p>
      <w:pPr>
        <w:pStyle w:val="Heading4"/>
      </w:pPr>
      <w:r>
        <w:t xml:space="preserve">6.4b — User Manual (content owner decision)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OCOG owns and writes the NOC user manual. D.TEC</w:t>
      </w:r>
      <w:r>
        <w:t xml:space="preserve"> </w:t>
      </w:r>
      <w:r>
        <w:t xml:space="preserve">contributes technical content; IOC contributes process and policy</w:t>
      </w:r>
      <w:r>
        <w:t xml:space="preserve"> </w:t>
      </w:r>
      <w:r>
        <w:t xml:space="preserve">content. To be confirmed with Martyn (OCOG) and Emma (IOC).</w:t>
      </w:r>
    </w:p>
    <w:bookmarkEnd w:id="37"/>
    <w:bookmarkStart w:id="38" w:name="X947bc48513e6506169da490d9313d050804563b"/>
    <w:p>
      <w:pPr>
        <w:pStyle w:val="Heading4"/>
      </w:pPr>
      <w:r>
        <w:t xml:space="preserve">6.4c — French Localisation Scope (build scope decision)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partially confirmed</w:t>
      </w:r>
    </w:p>
    <w:p>
      <w:pPr>
        <w:pStyle w:val="BodyText"/>
      </w:pPr>
      <w:r>
        <w:t xml:space="preserve">The public EoI form will support French at v1.0 launch (this is now</w:t>
      </w:r>
      <w:r>
        <w:t xml:space="preserve"> </w:t>
      </w:r>
      <w:r>
        <w:t xml:space="preserve">confirmed and in scope). The back-office admin portal (NOC/OCOG/IOC</w:t>
      </w:r>
      <w:r>
        <w:t xml:space="preserve"> </w:t>
      </w:r>
      <w:r>
        <w:t xml:space="preserve">dashboards) is English-only for v1.0, with French localisation deferred</w:t>
      </w:r>
      <w:r>
        <w:t xml:space="preserve"> </w:t>
      </w:r>
      <w:r>
        <w:t xml:space="preserve">to v1.1. To be confirmed with Emma (IOC) and Martyn (OCOG).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(receives onboarding), OCOG Admin (may</w:t>
      </w:r>
      <w:r>
        <w:t xml:space="preserve"> </w:t>
      </w:r>
      <w:r>
        <w:t xml:space="preserve">deliver onboarding), D.TEC (may produce manual), IOC (may set language</w:t>
      </w:r>
      <w:r>
        <w:t xml:space="preserve"> </w:t>
      </w:r>
      <w:r>
        <w:t xml:space="preserve">requirements)</w:t>
      </w:r>
    </w:p>
    <w:bookmarkEnd w:id="38"/>
    <w:bookmarkEnd w:id="39"/>
    <w:bookmarkStart w:id="40" w:name="pilot-noc-testing-em-2026-04-02"/>
    <w:p>
      <w:pPr>
        <w:pStyle w:val="Heading3"/>
      </w:pPr>
      <w:r>
        <w:t xml:space="preserve">6.5 Pilot NOC Testing [EM 2026-04-02]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2026-04-17 — covered by 1.3 implementation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Emma suggests (Comment 184):</w:t>
      </w:r>
      <w:r>
        <w:t xml:space="preserve"> </w:t>
      </w:r>
      <w:r>
        <w:t xml:space="preserve">“I think we should test the</w:t>
      </w:r>
      <w:r>
        <w:t xml:space="preserve"> </w:t>
      </w:r>
      <w:r>
        <w:t xml:space="preserve">system with a select number of NOCs.”</w:t>
      </w:r>
      <w:r>
        <w:t xml:space="preserve"> </w:t>
      </w:r>
      <w:r>
        <w:t xml:space="preserve">This aligns with the general</w:t>
      </w:r>
      <w:r>
        <w:t xml:space="preserve"> </w:t>
      </w:r>
      <w:r>
        <w:t xml:space="preserve">principle of controlled rollout before full launch, but we have not yet</w:t>
      </w:r>
      <w:r>
        <w:t xml:space="preserve"> </w:t>
      </w:r>
      <w:r>
        <w:t xml:space="preserve">defined the pilot structure.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Pilot NOC support is enabled by the OCOG’s ability to</w:t>
      </w:r>
      <w:r>
        <w:t xml:space="preserve"> </w:t>
      </w:r>
      <w:r>
        <w:t xml:space="preserve">selectively open EoI windows for specific NOCs while others remain</w:t>
      </w:r>
      <w:r>
        <w:t xml:space="preserve"> </w:t>
      </w:r>
      <w:r>
        <w:t xml:space="preserve">closed — using the same per-NOC window control retained at the OCOG</w:t>
      </w:r>
      <w:r>
        <w:t xml:space="preserve"> </w:t>
      </w:r>
      <w:r>
        <w:t xml:space="preserve">admin level (per 1.3). This is the same mechanism used for</w:t>
      </w:r>
      <w:r>
        <w:t xml:space="preserve"> </w:t>
      </w:r>
      <w:r>
        <w:t xml:space="preserve">post-deadline invite extensions. No separate pilot infrastructure is</w:t>
      </w:r>
      <w:r>
        <w:t xml:space="preserve"> </w:t>
      </w:r>
      <w:r>
        <w:t xml:space="preserve">required. Pilot NOC selection criteria, timeline, and go/no-go threshold</w:t>
      </w:r>
      <w:r>
        <w:t xml:space="preserve"> </w:t>
      </w:r>
      <w:r>
        <w:t xml:space="preserve">to be agreed between OCOG, IOC, and D.TEC.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OCOG Admin (may coordinate pilot), IOC (may set</w:t>
      </w:r>
      <w:r>
        <w:t xml:space="preserve"> </w:t>
      </w:r>
      <w:r>
        <w:t xml:space="preserve">go/no-go criteria), NOC Admin (pilot participants), D.TEC (operates the</w:t>
      </w:r>
      <w:r>
        <w:t xml:space="preserve"> </w:t>
      </w:r>
      <w:r>
        <w:t xml:space="preserve">pilot environment)</w:t>
      </w:r>
    </w:p>
    <w:bookmarkEnd w:id="40"/>
    <w:bookmarkEnd w:id="41"/>
    <w:bookmarkStart w:id="52" w:name="resolved-decisions-for-confirmation"/>
    <w:p>
      <w:pPr>
        <w:pStyle w:val="Heading2"/>
      </w:pPr>
      <w:r>
        <w:t xml:space="preserve">Resolved Decisions — For Confirmation</w:t>
      </w:r>
    </w:p>
    <w:p>
      <w:pPr>
        <w:pStyle w:val="FirstParagraph"/>
      </w:pPr>
      <w:r>
        <w:t xml:space="preserve">The following decisions have been made and implemented. We’re listing</w:t>
      </w:r>
      <w:r>
        <w:t xml:space="preserve"> </w:t>
      </w:r>
      <w:r>
        <w:t xml:space="preserve">them here so you can confirm they match your understanding. If anything</w:t>
      </w:r>
      <w:r>
        <w:t xml:space="preserve"> </w:t>
      </w:r>
      <w:r>
        <w:t xml:space="preserve">needs revisiting, we can — these are not locked.</w:t>
      </w:r>
    </w:p>
    <w:p>
      <w:pPr>
        <w:pStyle w:val="BlockText"/>
      </w:pPr>
      <w:r>
        <w:rPr>
          <w:b/>
          <w:bCs/>
        </w:rPr>
        <w:t xml:space="preserve">Note on disputed resolutions:</w:t>
      </w:r>
      <w:r>
        <w:t xml:space="preserve"> </w:t>
      </w:r>
      <w:r>
        <w:t xml:space="preserve">R-2, R-3, and R-7 below are listed</w:t>
      </w:r>
      <w:r>
        <w:t xml:space="preserve"> </w:t>
      </w:r>
      <w:r>
        <w:t xml:space="preserve">as resolved but are actively disputed by open questions in the body of</w:t>
      </w:r>
      <w:r>
        <w:t xml:space="preserve"> </w:t>
      </w:r>
      <w:r>
        <w:t xml:space="preserve">this document. They are flagged clearly. Do not treat them as settled</w:t>
      </w:r>
      <w:r>
        <w:t xml:space="preserve"> </w:t>
      </w:r>
      <w:r>
        <w:t xml:space="preserve">until the April 15/16 meeting produces written agreement.</w:t>
      </w:r>
    </w:p>
    <w:bookmarkStart w:id="42" w:name="Xd44388af01f614b005f69410bf5c889ab9d271f"/>
    <w:p>
      <w:pPr>
        <w:pStyle w:val="Heading3"/>
      </w:pPr>
      <w:r>
        <w:t xml:space="preserve">R-1. EoI Owned by NOC; OCOG Has Cross-NOC Review Authority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During the EoI phase, the NOC reviews, approves, returns,</w:t>
      </w:r>
      <w:r>
        <w:t xml:space="preserve"> </w:t>
      </w:r>
      <w:r>
        <w:t xml:space="preserve">or rejects applications for their own territory. The OCOG can see all</w:t>
      </w:r>
      <w:r>
        <w:t xml:space="preserve"> </w:t>
      </w:r>
      <w:r>
        <w:t xml:space="preserve">applications across NOCs (read-only during EoI) and will have filtering</w:t>
      </w:r>
      <w:r>
        <w:t xml:space="preserve"> </w:t>
      </w:r>
      <w:r>
        <w:t xml:space="preserve">tools to identify problematic applications. The IOC has visibility but</w:t>
      </w:r>
      <w:r>
        <w:t xml:space="preserve"> </w:t>
      </w:r>
      <w:r>
        <w:t xml:space="preserve">does not approve or reject EoI applications.</w:t>
      </w:r>
    </w:p>
    <w:p>
      <w:pPr>
        <w:pStyle w:val="BodyText"/>
      </w:pPr>
      <w:r>
        <w:rPr>
          <w:b/>
          <w:bCs/>
        </w:rPr>
        <w:t xml:space="preserve">Clarification — EoI approval = candidacy, not accreditation [Ken</w:t>
      </w:r>
      <w:r>
        <w:rPr>
          <w:b/>
          <w:bCs/>
        </w:rPr>
        <w:t xml:space="preserve"> </w:t>
      </w:r>
      <w:r>
        <w:rPr>
          <w:b/>
          <w:bCs/>
        </w:rPr>
        <w:t xml:space="preserve">2026-04-02]:</w:t>
      </w:r>
      <w:r>
        <w:t xml:space="preserve"> </w:t>
      </w:r>
      <w:r>
        <w:t xml:space="preserve">When a NOC approves an EoI, they are approving the</w:t>
      </w:r>
      <w:r>
        <w:t xml:space="preserve"> </w:t>
      </w:r>
      <w:r>
        <w:t xml:space="preserve">organisation as a</w:t>
      </w:r>
      <w:r>
        <w:t xml:space="preserve"> </w:t>
      </w:r>
      <w:r>
        <w:rPr>
          <w:i/>
          <w:iCs/>
        </w:rPr>
        <w:t xml:space="preserve">candidate for quota consideration</w:t>
      </w:r>
      <w:r>
        <w:t xml:space="preserve"> </w:t>
      </w:r>
      <w:r>
        <w:t xml:space="preserve">— not granting</w:t>
      </w:r>
      <w:r>
        <w:t xml:space="preserve"> </w:t>
      </w:r>
      <w:r>
        <w:t xml:space="preserve">accreditation. An approved organisation may receive zero slots in PbN.</w:t>
      </w:r>
      <w:r>
        <w:t xml:space="preserve"> </w:t>
      </w:r>
      <w:r>
        <w:t xml:space="preserve">This two-stage model (candidacy → allocation) is intentional and</w:t>
      </w:r>
      <w:r>
        <w:t xml:space="preserve"> </w:t>
      </w:r>
      <w:r>
        <w:t xml:space="preserve">important: a NOC with a quota of 80 press slots might approve 200</w:t>
      </w:r>
      <w:r>
        <w:t xml:space="preserve"> </w:t>
      </w:r>
      <w:r>
        <w:t xml:space="preserve">organisations as candidates, then allocate slots to the 80 they</w:t>
      </w:r>
      <w:r>
        <w:t xml:space="preserve"> </w:t>
      </w:r>
      <w:r>
        <w:t xml:space="preserve">prioritise in PbN. The remaining 120 approved-but-unallocated orgs</w:t>
      </w:r>
      <w:r>
        <w:t xml:space="preserve"> </w:t>
      </w:r>
      <w:r>
        <w:t xml:space="preserve">receive no credentials.</w:t>
      </w:r>
    </w:p>
    <w:p>
      <w:pPr>
        <w:pStyle w:val="BodyText"/>
      </w:pPr>
      <w:r>
        <w:t xml:space="preserve">This distinction is currently implicit in the portal but not made</w:t>
      </w:r>
      <w:r>
        <w:t xml:space="preserve"> </w:t>
      </w:r>
      <w:r>
        <w:t xml:space="preserve">explicit to users. The</w:t>
      </w:r>
      <w:r>
        <w:t xml:space="preserve"> </w:t>
      </w:r>
      <w:r>
        <w:t xml:space="preserve">“Approve as Candidate”</w:t>
      </w:r>
      <w:r>
        <w:t xml:space="preserve"> </w:t>
      </w:r>
      <w:r>
        <w:t xml:space="preserve">label change and</w:t>
      </w:r>
      <w:r>
        <w:t xml:space="preserve"> </w:t>
      </w:r>
      <w:r>
        <w:t xml:space="preserve">explanatory tooltip are required in the portal UI to make clear that EoI</w:t>
      </w:r>
      <w:r>
        <w:t xml:space="preserve"> </w:t>
      </w:r>
      <w:r>
        <w:t xml:space="preserve">approval places the organisation in the candidate pool, not that it</w:t>
      </w:r>
      <w:r>
        <w:t xml:space="preserve"> </w:t>
      </w:r>
      <w:r>
        <w:t xml:space="preserve">guarantees credential allocation.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Admin, OCOG Admin, IOC Admin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the role boundaries during EoI, and confirm that framing EoI approval as</w:t>
      </w:r>
      <w:r>
        <w:t xml:space="preserve"> </w:t>
      </w:r>
      <w:r>
        <w:t xml:space="preserve">“candidacy”</w:t>
      </w:r>
      <w:r>
        <w:t xml:space="preserve"> </w:t>
      </w:r>
      <w:r>
        <w:t xml:space="preserve">(not accreditation) accurately reflects how IOC and OCOG</w:t>
      </w:r>
      <w:r>
        <w:t xml:space="preserve"> </w:t>
      </w:r>
      <w:r>
        <w:t xml:space="preserve">expect NOCs to use this stage.</w:t>
      </w:r>
    </w:p>
    <w:bookmarkEnd w:id="42"/>
    <w:bookmarkStart w:id="43" w:name="X3e3c0ec613c93eec582ec33b336cacf0f15d0a9"/>
    <w:p>
      <w:pPr>
        <w:pStyle w:val="Heading3"/>
      </w:pPr>
      <w:r>
        <w:t xml:space="preserve">R-2. PbN Approval — OCOG Approves, with IOC Exceptions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RESOLVED 2026-04-11</w:t>
      </w:r>
      <w:r>
        <w:t xml:space="preserve"> </w:t>
      </w:r>
      <w:r>
        <w:t xml:space="preserve">— OCOG approves PbN confirmed. IOC has</w:t>
      </w:r>
      <w:r>
        <w:t xml:space="preserve"> </w:t>
      </w:r>
      <w:r>
        <w:t xml:space="preserve">read-only visibility; no formal IOC step in the PbN state machine.</w:t>
      </w:r>
      <w:r>
        <w:t xml:space="preserve"> </w:t>
      </w:r>
      <w:r>
        <w:t xml:space="preserve">Model A (section 3.2) adopted. The additional conflict with section</w:t>
      </w:r>
      <w:r>
        <w:t xml:space="preserve"> </w:t>
      </w:r>
      <w:r>
        <w:t xml:space="preserve">4.2 (IOC-Direct approval direction) remains open — see section 4.2.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After a NOC submits their PbN slot allocations, the OCOG</w:t>
      </w:r>
      <w:r>
        <w:t xml:space="preserve"> </w:t>
      </w:r>
      <w:r>
        <w:t xml:space="preserve">formally reviews and approves (or adjusts) them. The IOC has read-only</w:t>
      </w:r>
      <w:r>
        <w:t xml:space="preserve"> </w:t>
      </w:r>
      <w:r>
        <w:t xml:space="preserve">visibility on PbN allocations but does not approve them. PbN state</w:t>
      </w:r>
      <w:r>
        <w:t xml:space="preserve"> </w:t>
      </w:r>
      <w:r>
        <w:t xml:space="preserve">machine: Draft → NOC Submitted → OCOG Approved → Sent to ACR.</w:t>
      </w:r>
    </w:p>
    <w:p>
      <w:pPr>
        <w:pStyle w:val="BodyText"/>
      </w:pPr>
      <w:r>
        <w:rPr>
          <w:b/>
          <w:bCs/>
        </w:rPr>
        <w:t xml:space="preserve">Named exceptions where the IOC has direct approval authority: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IOC-Direct organisations:</w:t>
      </w:r>
      <w:r>
        <w:t xml:space="preserve"> </w:t>
      </w:r>
      <w:r>
        <w:t xml:space="preserve">The IOC allocates slots to reserved orgs</w:t>
      </w:r>
      <w:r>
        <w:t xml:space="preserve"> </w:t>
      </w:r>
      <w:r>
        <w:t xml:space="preserve">(AFP, AP, Reuters, etc.) and submits them for OCOG approval through the</w:t>
      </w:r>
      <w:r>
        <w:t xml:space="preserve"> </w:t>
      </w:r>
      <w:r>
        <w:t xml:space="preserve">same PbN state machine. -</w:t>
      </w:r>
      <w:r>
        <w:t xml:space="preserve"> </w:t>
      </w:r>
      <w:r>
        <w:rPr>
          <w:b/>
          <w:bCs/>
        </w:rPr>
        <w:t xml:space="preserve">ENR:</w:t>
      </w:r>
      <w:r>
        <w:t xml:space="preserve"> </w:t>
      </w:r>
      <w:r>
        <w:t xml:space="preserve">The IOC grants ENR allocations from</w:t>
      </w:r>
      <w:r>
        <w:t xml:space="preserve"> </w:t>
      </w:r>
      <w:r>
        <w:t xml:space="preserve">the holdback pool (separate track, not PbN). -</w:t>
      </w:r>
      <w:r>
        <w:t xml:space="preserve"> </w:t>
      </w:r>
      <w:r>
        <w:rPr>
          <w:b/>
          <w:bCs/>
        </w:rPr>
        <w:t xml:space="preserve">IOC-managed quotas:</w:t>
      </w:r>
      <w:r>
        <w:t xml:space="preserve"> </w:t>
      </w:r>
      <w:r>
        <w:t xml:space="preserve">The IOC sets per-category quota totals per NOC.</w:t>
      </w:r>
    </w:p>
    <w:p>
      <w:pPr>
        <w:pStyle w:val="BodyText"/>
      </w:pPr>
      <w:r>
        <w:rPr>
          <w:b/>
          <w:bCs/>
        </w:rPr>
        <w:t xml:space="preserve">Important caveat [EM 2026-04-02]:</w:t>
      </w:r>
      <w:r>
        <w:t xml:space="preserve"> </w:t>
      </w:r>
      <w:r>
        <w:t xml:space="preserve">Emma’s feedback suggests the</w:t>
      </w:r>
      <w:r>
        <w:t xml:space="preserve"> </w:t>
      </w:r>
      <w:r>
        <w:t xml:space="preserve">approval authority described above may be reversed from the actual</w:t>
      </w:r>
      <w:r>
        <w:t xml:space="preserve"> </w:t>
      </w:r>
      <w:r>
        <w:t xml:space="preserve">process — specifically that the IOC approves the PbN (not just reads</w:t>
      </w:r>
      <w:r>
        <w:t xml:space="preserve"> </w:t>
      </w:r>
      <w:r>
        <w:t xml:space="preserve">it) and the OCOG’s role is quota entry and coordination rather than</w:t>
      </w:r>
      <w:r>
        <w:t xml:space="preserve"> </w:t>
      </w:r>
      <w:r>
        <w:t xml:space="preserve">final PbN approval. See section 3.2 for full detail. This resolved</w:t>
      </w:r>
      <w:r>
        <w:t xml:space="preserve"> </w:t>
      </w:r>
      <w:r>
        <w:t xml:space="preserve">decision should be treated as provisional until the April 15/16 meeting</w:t>
      </w:r>
      <w:r>
        <w:t xml:space="preserve"> </w:t>
      </w:r>
      <w:r>
        <w:t xml:space="preserve">with Emma and Martyn confirms which model is correct.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Admin, OCOG Admin, IOC Admin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the OCOG owns PbN approval and the IOC exceptions are correctly scoped</w:t>
      </w:r>
      <w:r>
        <w:t xml:space="preserve"> </w:t>
      </w:r>
      <w:r>
        <w:t xml:space="preserve">— noting that IOC feedback indicates this may need to be reversed (see</w:t>
      </w:r>
      <w:r>
        <w:t xml:space="preserve"> </w:t>
      </w:r>
      <w:r>
        <w:t xml:space="preserve">3.2).</w:t>
      </w:r>
    </w:p>
    <w:bookmarkEnd w:id="43"/>
    <w:bookmarkStart w:id="44" w:name="Xaa3c1cf6129d92e90a1434f2fae61e65703133f"/>
    <w:p>
      <w:pPr>
        <w:pStyle w:val="Heading3"/>
      </w:pPr>
      <w:r>
        <w:t xml:space="preserve">R-3. ENR Process — NOC Nominates, IOC Grants from Holdback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OPEN-BLOCKING</w:t>
      </w:r>
      <w:r>
        <w:t xml:space="preserve"> </w:t>
      </w:r>
      <w:r>
        <w:t xml:space="preserve">— ENR self-application (section 5.1) remains</w:t>
      </w:r>
      <w:r>
        <w:t xml:space="preserve"> </w:t>
      </w:r>
      <w:r>
        <w:t xml:space="preserve">unresolved and contradicts the</w:t>
      </w:r>
      <w:r>
        <w:t xml:space="preserve"> </w:t>
      </w:r>
      <w:r>
        <w:t xml:space="preserve">“NOC nominates only”</w:t>
      </w:r>
      <w:r>
        <w:t xml:space="preserve"> </w:t>
      </w:r>
      <w:r>
        <w:t xml:space="preserve">model here. If</w:t>
      </w:r>
      <w:r>
        <w:t xml:space="preserve"> </w:t>
      </w:r>
      <w:r>
        <w:t xml:space="preserve">self-application is adopted, the EoI form, NOC queue action set, and</w:t>
      </w:r>
      <w:r>
        <w:t xml:space="preserve"> </w:t>
      </w:r>
      <w:r>
        <w:t xml:space="preserve">ENR state machine all change. Awaiting Emma (IOC) and Martyn (OCOG) to</w:t>
      </w:r>
      <w:r>
        <w:t xml:space="preserve"> </w:t>
      </w:r>
      <w:r>
        <w:t xml:space="preserve">confirm the ENR front door model before any further ENR intake work</w:t>
      </w:r>
      <w:r>
        <w:t xml:space="preserve"> </w:t>
      </w:r>
      <w:r>
        <w:t xml:space="preserve">proceeds.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ENR is a completely separate track from EoI/PbN. Media</w:t>
      </w:r>
      <w:r>
        <w:t xml:space="preserve"> </w:t>
      </w:r>
      <w:r>
        <w:t xml:space="preserve">organisations do not self-apply for ENR — the NOC nominates them. The</w:t>
      </w:r>
      <w:r>
        <w:t xml:space="preserve"> </w:t>
      </w:r>
      <w:r>
        <w:t xml:space="preserve">NOC submits a prioritised list to the IOC. The IOC reviews each org and</w:t>
      </w:r>
      <w:r>
        <w:t xml:space="preserve"> </w:t>
      </w:r>
      <w:r>
        <w:t xml:space="preserve">grants full, partial, or zero slots from a separate holdback pool. ENR</w:t>
      </w:r>
      <w:r>
        <w:t xml:space="preserve"> </w:t>
      </w:r>
      <w:r>
        <w:t xml:space="preserve">quota is completely separate from E-category quotas.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Admin, IOC Admin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this matches</w:t>
      </w:r>
      <w:r>
        <w:t xml:space="preserve"> </w:t>
      </w:r>
      <w:r>
        <w:t xml:space="preserve">your understanding of the ENR process — and whether ENR</w:t>
      </w:r>
      <w:r>
        <w:t xml:space="preserve"> </w:t>
      </w:r>
      <w:r>
        <w:t xml:space="preserve">self-application (section 5.1) should replace or supplement this model.</w:t>
      </w:r>
    </w:p>
    <w:bookmarkEnd w:id="44"/>
    <w:bookmarkStart w:id="45" w:name="X7805c81b8e7cd19a12f92602b30da557c348261"/>
    <w:p>
      <w:pPr>
        <w:pStyle w:val="Heading3"/>
      </w:pPr>
      <w:r>
        <w:t xml:space="preserve">R-4. IFs — Quota and Fast-Track Only, No Public EoI [EM 2026-04-02 updated]</w:t>
      </w:r>
    </w:p>
    <w:p>
      <w:pPr>
        <w:pStyle w:val="FirstParagraph"/>
      </w:pPr>
      <w:r>
        <w:rPr>
          <w:b/>
          <w:bCs/>
        </w:rPr>
        <w:t xml:space="preserve">Decision (updated 2026-04-17):</w:t>
      </w:r>
      <w:r>
        <w:t xml:space="preserve"> </w:t>
      </w:r>
      <w:r>
        <w:t xml:space="preserve">International Federations (IFs) operate</w:t>
      </w:r>
      <w:r>
        <w:t xml:space="preserve"> </w:t>
      </w:r>
      <w:r>
        <w:t xml:space="preserve">via two distinct tracks: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IF-Staff track (all IFs — staff journalists/photographers quota):</w:t>
      </w:r>
      <w:r>
        <w:t xml:space="preserve"> </w:t>
      </w:r>
      <w:r>
        <w:t xml:space="preserve">Handled via the IOC-Direct/INO workflow with an</w:t>
      </w:r>
      <w:r>
        <w:t xml:space="preserve"> </w:t>
      </w:r>
      <w:r>
        <w:t xml:space="preserve">“IF-Staff”</w:t>
      </w:r>
      <w:r>
        <w:t xml:space="preserve"> </w:t>
      </w:r>
      <w:r>
        <w:t xml:space="preserve">organisation</w:t>
      </w:r>
      <w:r>
        <w:t xml:space="preserve"> </w:t>
      </w:r>
      <w:r>
        <w:t xml:space="preserve">type flag, in the same way as INOs. The IOC sets per-category quotas</w:t>
      </w:r>
      <w:r>
        <w:t xml:space="preserve"> </w:t>
      </w:r>
      <w:r>
        <w:t xml:space="preserve">for each IF. IFs in this track do not have a public EoI queue and go</w:t>
      </w:r>
      <w:r>
        <w:t xml:space="preserve"> </w:t>
      </w:r>
      <w:r>
        <w:t xml:space="preserve">directly to Press by Name in ACR.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IF-PbN track (approximately 6–8 IFs that act as responsible</w:t>
      </w:r>
      <w:r>
        <w:rPr>
          <w:b/>
          <w:bCs/>
        </w:rPr>
        <w:t xml:space="preserve"> </w:t>
      </w:r>
      <w:r>
        <w:rPr>
          <w:b/>
          <w:bCs/>
        </w:rPr>
        <w:t xml:space="preserve">organisations):</w:t>
      </w:r>
      <w:r>
        <w:t xml:space="preserve"> </w:t>
      </w:r>
      <w:r>
        <w:t xml:space="preserve">These IFs allocate quota to sport-specific press</w:t>
      </w:r>
      <w:r>
        <w:t xml:space="preserve"> </w:t>
      </w:r>
      <w:r>
        <w:t xml:space="preserve">organisations. They use the direct entry or invite process via an IF</w:t>
      </w:r>
      <w:r>
        <w:t xml:space="preserve"> </w:t>
      </w:r>
      <w:r>
        <w:t xml:space="preserve">admin actor. OCOG approves their PbN allocations through the same state</w:t>
      </w:r>
      <w:r>
        <w:t xml:space="preserve"> </w:t>
      </w:r>
      <w:r>
        <w:t xml:space="preserve">machine as NOC allocations.</w:t>
      </w:r>
    </w:p>
    <w:p>
      <w:pPr>
        <w:pStyle w:val="FirstParagraph"/>
      </w:pPr>
      <w:r>
        <w:rPr>
          <w:b/>
          <w:bCs/>
        </w:rPr>
        <w:t xml:space="preserve">Confirmed — IFs have NO ENR accreditations [EM 2026-04-02]:</w:t>
      </w:r>
      <w:r>
        <w:t xml:space="preserve"> </w:t>
      </w:r>
      <w:r>
        <w:t xml:space="preserve">Emma</w:t>
      </w:r>
      <w:r>
        <w:t xml:space="preserve"> </w:t>
      </w:r>
      <w:r>
        <w:t xml:space="preserve">confirms (Comments 100, 112) that IFs do not participate in the ENR</w:t>
      </w:r>
      <w:r>
        <w:t xml:space="preserve"> </w:t>
      </w:r>
      <w:r>
        <w:t xml:space="preserve">track at all. ENR accreditations do not exist for IFs. Any ENR-related</w:t>
      </w:r>
      <w:r>
        <w:t xml:space="preserve"> </w:t>
      </w:r>
      <w:r>
        <w:t xml:space="preserve">screens or logic for IF admin roles should be removed or hidden.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IF Admin (only ~6–8 IFs in scope for PbN), OCOG</w:t>
      </w:r>
      <w:r>
        <w:t xml:space="preserve"> </w:t>
      </w:r>
      <w:r>
        <w:t xml:space="preserve">Admin (approves those IFs’ PbN), IOC Admin (sets quotas for all IFs)</w:t>
      </w:r>
    </w:p>
    <w:bookmarkEnd w:id="45"/>
    <w:bookmarkStart w:id="46" w:name="Xfea0cd679a66aac534298163cbe6e7f91aaef1c"/>
    <w:p>
      <w:pPr>
        <w:pStyle w:val="Heading3"/>
      </w:pPr>
      <w:r>
        <w:t xml:space="preserve">R-5. ENR Partial Allocation (Not All-or-Nothing)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When the IOC reviews a NOC’s ENR request list, they decide</w:t>
      </w:r>
      <w:r>
        <w:t xml:space="preserve"> </w:t>
      </w:r>
      <w:r>
        <w:t xml:space="preserve">per org: Granted (full slots), Partial (fewer slots than requested), or</w:t>
      </w:r>
      <w:r>
        <w:t xml:space="preserve"> </w:t>
      </w:r>
      <w:r>
        <w:t xml:space="preserve">Denied (zero slots). The IOC sets the exact number of slots granted for</w:t>
      </w:r>
      <w:r>
        <w:t xml:space="preserve"> </w:t>
      </w:r>
      <w:r>
        <w:t xml:space="preserve">each org. This is not all-or-nothing per NOC.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IOC Admin, NOC Admin (sees decisions)</w:t>
      </w:r>
      <w:r>
        <w:t xml:space="preserve"> </w:t>
      </w:r>
      <w:r>
        <w:rPr>
          <w:b/>
          <w:bCs/>
        </w:rPr>
        <w:t xml:space="preserve">Please</w:t>
      </w:r>
      <w:r>
        <w:rPr>
          <w:b/>
          <w:bCs/>
        </w:rP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per-org partial allocation is correct.</w:t>
      </w:r>
    </w:p>
    <w:bookmarkEnd w:id="46"/>
    <w:bookmarkStart w:id="47" w:name="Xba066557516f7989e1f32fea277fedea4cb8b48"/>
    <w:p>
      <w:pPr>
        <w:pStyle w:val="Heading3"/>
      </w:pPr>
      <w:r>
        <w:t xml:space="preserve">R-6. Flat Org Identity Model (No Parent-Child Hierarchy)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Each territory’s instance of an organisation is an</w:t>
      </w:r>
      <w:r>
        <w:t xml:space="preserve"> </w:t>
      </w:r>
      <w:r>
        <w:t xml:space="preserve">independent record. For example, a broadcast company with bureaux in</w:t>
      </w:r>
      <w:r>
        <w:t xml:space="preserve"> </w:t>
      </w:r>
      <w:r>
        <w:t xml:space="preserve">Japan and the United States would have two separate org records — one</w:t>
      </w:r>
      <w:r>
        <w:t xml:space="preserve"> </w:t>
      </w:r>
      <w:r>
        <w:t xml:space="preserve">managed by the JPN NOC and one by the USA NOC. They are linked only by a</w:t>
      </w:r>
      <w:r>
        <w:t xml:space="preserve"> </w:t>
      </w:r>
      <w:r>
        <w:t xml:space="preserve">shared email domain, which triggers a multi-territory flag. A</w:t>
      </w:r>
      <w:r>
        <w:t xml:space="preserve"> </w:t>
      </w:r>
      <w:r>
        <w:t xml:space="preserve">parent-child corporate hierarchy model is deferred.</w:t>
      </w:r>
    </w:p>
    <w:p>
      <w:pPr>
        <w:pStyle w:val="BodyText"/>
      </w:pPr>
      <w:r>
        <w:t xml:space="preserve">Note: The largest international wire services (AFP, AP, Reuters, Xinhua)</w:t>
      </w:r>
      <w:r>
        <w:t xml:space="preserve"> </w:t>
      </w:r>
      <w:r>
        <w:t xml:space="preserve">are handled separately as IOC-Direct organisations — they bypass the</w:t>
      </w:r>
      <w:r>
        <w:t xml:space="preserve"> </w:t>
      </w:r>
      <w:r>
        <w:t xml:space="preserve">NOC process entirely and are managed by the IOC.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Admin, OCOG Admin, IOC Admin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the flat model is acceptable, or let us know if corporate hierarchy</w:t>
      </w:r>
      <w:r>
        <w:t xml:space="preserve"> </w:t>
      </w:r>
      <w:r>
        <w:t xml:space="preserve">visibility is needed.</w:t>
      </w:r>
    </w:p>
    <w:bookmarkEnd w:id="47"/>
    <w:bookmarkStart w:id="48" w:name="r-7.-ioc-can-edit-quotas-after-import"/>
    <w:p>
      <w:pPr>
        <w:pStyle w:val="Heading3"/>
      </w:pPr>
      <w:r>
        <w:t xml:space="preserve">R-7. IOC Can Edit Quotas After Import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RESOLVED 2026-04-11</w:t>
      </w:r>
      <w:r>
        <w:t xml:space="preserve"> </w:t>
      </w:r>
      <w:r>
        <w:t xml:space="preserve">— Model A confirmed (section 3.2). IOC</w:t>
      </w:r>
      <w:r>
        <w:t xml:space="preserve"> </w:t>
      </w:r>
      <w:r>
        <w:t xml:space="preserve">enters and edits quotas directly in the portal. The quota-entry screen</w:t>
      </w:r>
      <w:r>
        <w:t xml:space="preserve"> </w:t>
      </w:r>
      <w:r>
        <w:t xml:space="preserve">and edit capability built for IOC Admin stand.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The IOC imports per-category quota totals from a CSV file.</w:t>
      </w:r>
      <w:r>
        <w:t xml:space="preserve"> </w:t>
      </w:r>
      <w:r>
        <w:t xml:space="preserve">After import, the IOC can also edit individual NOC quotas directly in</w:t>
      </w:r>
      <w:r>
        <w:t xml:space="preserve"> </w:t>
      </w:r>
      <w:r>
        <w:t xml:space="preserve">the portal (toggle an edit mode on the quota table). All changes —</w:t>
      </w:r>
      <w:r>
        <w:t xml:space="preserve"> </w:t>
      </w:r>
      <w:r>
        <w:t xml:space="preserve">whether from import or manual edit — are logged in an audit trail</w:t>
      </w:r>
      <w:r>
        <w:t xml:space="preserve"> </w:t>
      </w:r>
      <w:r>
        <w:t xml:space="preserve">(previous value → new value, who changed it, when).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IOC Admin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both import and in-app</w:t>
      </w:r>
      <w:r>
        <w:t xml:space="preserve"> </w:t>
      </w:r>
      <w:r>
        <w:t xml:space="preserve">editing should be supported — noting this depends on section 3.2</w:t>
      </w:r>
      <w:r>
        <w:t xml:space="preserve"> </w:t>
      </w:r>
      <w:r>
        <w:t xml:space="preserve">resolution.</w:t>
      </w:r>
    </w:p>
    <w:bookmarkEnd w:id="48"/>
    <w:bookmarkStart w:id="49" w:name="X65e486479a9ea8a1ae4172c9b7b252fa72f2073"/>
    <w:p>
      <w:pPr>
        <w:pStyle w:val="Heading3"/>
      </w:pPr>
      <w:r>
        <w:t xml:space="preserve">R-8. Two-Step Process with Simplified Path for Small NOCs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The portal enforces a two-step process: Step 1 (EoI) where</w:t>
      </w:r>
      <w:r>
        <w:t xml:space="preserve"> </w:t>
      </w:r>
      <w:r>
        <w:t xml:space="preserve">the NOC approves eligible organisations, and Step 2 (PbN) where the NOC</w:t>
      </w:r>
      <w:r>
        <w:t xml:space="preserve"> </w:t>
      </w:r>
      <w:r>
        <w:t xml:space="preserve">allocates per-category slots to approved orgs. However, for smaller NOCs</w:t>
      </w:r>
      <w:r>
        <w:t xml:space="preserve"> </w:t>
      </w:r>
      <w:r>
        <w:t xml:space="preserve">with few applicants, we will provide a streamlined experience — for</w:t>
      </w:r>
      <w:r>
        <w:t xml:space="preserve"> </w:t>
      </w:r>
      <w:r>
        <w:t xml:space="preserve">example, allowing approval and slot allocation in a single workflow</w:t>
      </w:r>
      <w:r>
        <w:t xml:space="preserve"> </w:t>
      </w:r>
      <w:r>
        <w:t xml:space="preserve">view, while still maintaining the same underlying data model and OCOG</w:t>
      </w:r>
      <w:r>
        <w:t xml:space="preserve"> </w:t>
      </w:r>
      <w:r>
        <w:t xml:space="preserve">approval process.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NOC Admin (all sizes), OCOG Admin (approves</w:t>
      </w:r>
      <w:r>
        <w:t xml:space="preserve"> </w:t>
      </w:r>
      <w:r>
        <w:t xml:space="preserve">regardless of NOC size)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a simplified flow for small</w:t>
      </w:r>
      <w:r>
        <w:t xml:space="preserve"> </w:t>
      </w:r>
      <w:r>
        <w:t xml:space="preserve">NOCs is acceptable, as long as the OCOG approval step remains.</w:t>
      </w:r>
      <w:r>
        <w:t xml:space="preserve"> </w:t>
      </w:r>
      <w:r>
        <w:rPr>
          <w:b/>
          <w:bCs/>
        </w:rPr>
        <w:t xml:space="preserve">NOC</w:t>
      </w:r>
      <w:r>
        <w:rPr>
          <w:b/>
          <w:bCs/>
        </w:rPr>
        <w:t xml:space="preserve"> </w:t>
      </w:r>
      <w:r>
        <w:rPr>
          <w:b/>
          <w:bCs/>
        </w:rPr>
        <w:t xml:space="preserve">input recommended</w:t>
      </w:r>
      <w:r>
        <w:t xml:space="preserve"> </w:t>
      </w:r>
      <w:r>
        <w:t xml:space="preserve">— ask a small-territory NOC whether the current</w:t>
      </w:r>
      <w:r>
        <w:t xml:space="preserve"> </w:t>
      </w:r>
      <w:r>
        <w:t xml:space="preserve">two-step process feels burdensome.</w:t>
      </w:r>
    </w:p>
    <w:bookmarkEnd w:id="49"/>
    <w:bookmarkStart w:id="50" w:name="r-9.-session-timeout"/>
    <w:p>
      <w:pPr>
        <w:pStyle w:val="Heading3"/>
      </w:pPr>
      <w:r>
        <w:t xml:space="preserve">R-9. Session Timeout</w:t>
      </w:r>
    </w:p>
    <w:p>
      <w:pPr>
        <w:pStyle w:val="FirstParagraph"/>
      </w:pPr>
      <w:r>
        <w:rPr>
          <w:b/>
          <w:bCs/>
        </w:rPr>
        <w:t xml:space="preserve">Decision (updated 2026-04-17):</w:t>
      </w:r>
      <w:r>
        <w:t xml:space="preserve"> </w:t>
      </w:r>
      <w:r>
        <w:t xml:space="preserve">Admin sessions remain at 8 hours</w:t>
      </w:r>
      <w:r>
        <w:t xml:space="preserve"> </w:t>
      </w:r>
      <w:r>
        <w:t xml:space="preserve">(will defer to D.TEC IAM policy when SSO is integrated). EoI applicant</w:t>
      </w:r>
      <w:r>
        <w:t xml:space="preserve"> </w:t>
      </w:r>
      <w:r>
        <w:t xml:space="preserve">sessions will use a 90-day timeout — applicants should not be timed</w:t>
      </w:r>
      <w:r>
        <w:t xml:space="preserve"> </w:t>
      </w:r>
      <w:r>
        <w:t xml:space="preserve">out mid-application or when returning to check their application status</w:t>
      </w:r>
      <w:r>
        <w:t xml:space="preserve"> </w:t>
      </w:r>
      <w:r>
        <w:t xml:space="preserve">at a later date.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All admin roles; EoI applicants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8-hour admin sessions and 90-day applicant sessions are acceptable.</w:t>
      </w:r>
    </w:p>
    <w:bookmarkEnd w:id="50"/>
    <w:bookmarkStart w:id="51" w:name="r-10.-acr-stub-build-now-integrate-later"/>
    <w:p>
      <w:pPr>
        <w:pStyle w:val="Heading3"/>
      </w:pPr>
      <w:r>
        <w:t xml:space="preserve">R-10. ACR Stub — Build Now, Integrate Later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We built an ACR adapter with a stub implementation that</w:t>
      </w:r>
      <w:r>
        <w:t xml:space="preserve"> </w:t>
      </w:r>
      <w:r>
        <w:t xml:space="preserve">simulates the real ACR API. The stub will be replaced with the real ACR</w:t>
      </w:r>
      <w:r>
        <w:t xml:space="preserve"> </w:t>
      </w:r>
      <w:r>
        <w:t xml:space="preserve">client when the API contract is finalised (June 1, 2026 go/no-go gate).</w:t>
      </w:r>
      <w:r>
        <w:t xml:space="preserve"> </w:t>
      </w:r>
      <w:r>
        <w:t xml:space="preserve">If ACR is not ready by June 1, the fallback is structured CSV export.</w:t>
      </w:r>
    </w:p>
    <w:p>
      <w:pPr>
        <w:pStyle w:val="BodyText"/>
      </w:pPr>
      <w:r>
        <w:rPr>
          <w:b/>
          <w:bCs/>
        </w:rPr>
        <w:t xml:space="preserve">Roles impacted:</w:t>
      </w:r>
      <w:r>
        <w:t xml:space="preserve"> </w:t>
      </w:r>
      <w:r>
        <w:t xml:space="preserve">OCOG Admin (triggers export), IOC Admin (visibility)</w:t>
      </w:r>
      <w:r>
        <w:t xml:space="preserve"> </w:t>
      </w:r>
      <w:r>
        <w:rPr>
          <w:b/>
          <w:bCs/>
        </w:rPr>
        <w:t xml:space="preserve">Please confirm</w:t>
      </w:r>
      <w:r>
        <w:t xml:space="preserve"> </w:t>
      </w:r>
      <w:r>
        <w:t xml:space="preserve">this approach is acceptable.</w:t>
      </w:r>
    </w:p>
    <w:bookmarkEnd w:id="51"/>
    <w:bookmarkEnd w:id="52"/>
    <w:bookmarkStart w:id="53" w:name="Xaedb7d667c2d01047122c6fbeddb207ad986b0c"/>
    <w:p>
      <w:pPr>
        <w:pStyle w:val="Heading2"/>
      </w:pPr>
      <w:r>
        <w:t xml:space="preserve">Appendix A — Questions Specifically for Martyn (OCOG)</w:t>
      </w:r>
    </w:p>
    <w:p>
      <w:pPr>
        <w:pStyle w:val="FirstParagraph"/>
      </w:pPr>
      <w:r>
        <w:t xml:space="preserve">The following items require Martyn’s operational input specifically,</w:t>
      </w:r>
      <w:r>
        <w:t xml:space="preserve"> </w:t>
      </w:r>
      <w:r>
        <w:t xml:space="preserve">beyond Emma’s IOC perspective already received.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056"/>
        <w:gridCol w:w="3168"/>
        <w:gridCol w:w="3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Does LA28/OCOG want to own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quota entry (Model B), or is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Model A (IOC enters directly)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acceptable?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2026-04-11</w:t>
            </w:r>
            <w:r>
              <w:t xml:space="preserve"> </w:t>
            </w:r>
            <w:r>
              <w:t xml:space="preserve">— Model A</w:t>
            </w:r>
            <w:r>
              <w:t xml:space="preserve"> </w:t>
            </w:r>
            <w:r>
              <w:t xml:space="preserve">confirmed. IOC enters directly;</w:t>
            </w:r>
            <w:r>
              <w:t xml:space="preserve"> </w:t>
            </w:r>
            <w:r>
              <w:t xml:space="preserve">OCOG approves PbN. Holdback</w:t>
            </w:r>
            <w:r>
              <w:t xml:space="preserve"> </w:t>
            </w:r>
            <w:r>
              <w:t xml:space="preserve">caveat: confirm whether MRP</w:t>
            </w:r>
            <w:r>
              <w:t xml:space="preserve"> </w:t>
            </w:r>
            <w:r>
              <w:t xml:space="preserve">needs to surface the gap between</w:t>
            </w:r>
            <w:r>
              <w:t xml:space="preserve"> </w:t>
            </w:r>
            <w:r>
              <w:t xml:space="preserve">portal quota and IOC total</w:t>
            </w:r>
            <w:r>
              <w:t xml:space="preserve"> </w:t>
            </w:r>
            <w:r>
              <w:t xml:space="preserve">allocation (not blocking).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Does OCOG enroll IOC-Direct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orgs through MRP, or directly in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ACR?</w:t>
            </w:r>
            <w:r>
              <w:t xml:space="preserve"> </w:t>
            </w:r>
            <w:r>
              <w:rPr>
                <w:b/>
                <w:bCs/>
              </w:rPr>
              <w:t xml:space="preserve">CLOSED 2026-04-17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in-app management confirmed as</w:t>
            </w:r>
            <w:r>
              <w:t xml:space="preserve"> </w:t>
            </w:r>
            <w:r>
              <w:t xml:space="preserve">preferred; offline remains an</w:t>
            </w:r>
            <w:r>
              <w:t xml:space="preserve"> </w:t>
            </w:r>
            <w:r>
              <w:t xml:space="preserve">operational 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provisions NOC admin</w:t>
            </w:r>
            <w:r>
              <w:t xml:space="preserve"> </w:t>
            </w:r>
            <w:r>
              <w:t xml:space="preserve">accounts — OCOG, D.TEC, or</w:t>
            </w:r>
            <w:r>
              <w:t xml:space="preserve"> </w:t>
            </w:r>
            <w:r>
              <w:t xml:space="preserve">IOC? 206 accounts must exist</w:t>
            </w:r>
            <w:r>
              <w:t xml:space="preserve"> </w:t>
            </w:r>
            <w:r>
              <w:t xml:space="preserve">before August 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Will OCOG contribute process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content to the NOC user manual,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or is D.TEC writing it alone?</w:t>
            </w:r>
            <w:r>
              <w:t xml:space="preserve"> </w:t>
            </w:r>
            <w:r>
              <w:rPr>
                <w:b/>
                <w:bCs/>
              </w:rPr>
              <w:t xml:space="preserve">CLOSED 2026-04-17</w:t>
            </w:r>
            <w:r>
              <w:t xml:space="preserve"> </w:t>
            </w:r>
            <w:r>
              <w:t xml:space="preserve">— OCOG</w:t>
            </w:r>
            <w:r>
              <w:t xml:space="preserve"> </w:t>
            </w:r>
            <w:r>
              <w:t xml:space="preserve">owns the manual; D.TEC and IOC</w:t>
            </w:r>
            <w:r>
              <w:t xml:space="preserve"> </w:t>
            </w:r>
            <w:r>
              <w:t xml:space="preserve">contribute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localisation: public EoI</w:t>
            </w:r>
            <w:r>
              <w:t xml:space="preserve"> </w:t>
            </w:r>
            <w:r>
              <w:t xml:space="preserve">form confirmed for v1.0. Admin</w:t>
            </w:r>
            <w:r>
              <w:t xml:space="preserve"> </w:t>
            </w:r>
            <w:r>
              <w:t xml:space="preserve">portal English-only for v1.0.</w:t>
            </w:r>
            <w:r>
              <w:t xml:space="preserve"> </w:t>
            </w:r>
            <w:r>
              <w:t xml:space="preserve">Confirm with Emma and Martyn.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OCOG willing to own the RACI</w:t>
            </w:r>
            <w:r>
              <w:t xml:space="preserve"> </w:t>
            </w:r>
            <w:r>
              <w:t xml:space="preserve">for operational decisions (EoI</w:t>
            </w:r>
            <w:r>
              <w:t xml:space="preserve"> </w:t>
            </w:r>
            <w:r>
              <w:t xml:space="preserve">window authority, PbN</w:t>
            </w:r>
            <w:r>
              <w:t xml:space="preserve"> </w:t>
            </w:r>
            <w:r>
              <w:t xml:space="preserve">escalations, NOC onboarding)?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Will OCOG coordinate pilot NOC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selection and feedback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collection, and by when?</w:t>
            </w:r>
            <w:r>
              <w:t xml:space="preserve"> </w:t>
            </w:r>
            <w:r>
              <w:rPr>
                <w:b/>
                <w:bCs/>
              </w:rPr>
              <w:t xml:space="preserve">CLOSED 2026-04-17</w:t>
            </w:r>
            <w:r>
              <w:t xml:space="preserve"> </w:t>
            </w:r>
            <w:r>
              <w:t xml:space="preserve">— pilot</w:t>
            </w:r>
            <w:r>
              <w:t xml:space="preserve"> </w:t>
            </w:r>
            <w:r>
              <w:t xml:space="preserve">enabled via selective OCOG</w:t>
            </w:r>
            <w:r>
              <w:t xml:space="preserve"> </w:t>
            </w:r>
            <w:r>
              <w:t xml:space="preserve">window control (per 1.3).</w:t>
            </w:r>
            <w:r>
              <w:t xml:space="preserve"> </w:t>
            </w:r>
            <w:r>
              <w:t xml:space="preserve">Selection criteria and go/no-go</w:t>
            </w:r>
            <w:r>
              <w:t xml:space="preserve"> </w:t>
            </w:r>
            <w:r>
              <w:t xml:space="preserve">threshold to be agreed.</w:t>
            </w:r>
          </w:p>
        </w:tc>
      </w:tr>
    </w:tbl>
    <w:bookmarkEnd w:id="53"/>
    <w:bookmarkStart w:id="54" w:name="X9f18fc3d68d4e3cf928d0b081988996e36fb8a5"/>
    <w:p>
      <w:pPr>
        <w:pStyle w:val="Heading2"/>
      </w:pPr>
      <w:r>
        <w:t xml:space="preserve">Appendix B — NOC Representative Engagement Plan</w:t>
      </w:r>
    </w:p>
    <w:p>
      <w:pPr>
        <w:pStyle w:val="FirstParagraph"/>
      </w:pPr>
      <w:r>
        <w:t xml:space="preserve">The following items have open questions that cannot be answered from the</w:t>
      </w:r>
      <w:r>
        <w:t xml:space="preserve"> </w:t>
      </w:r>
      <w:r>
        <w:t xml:space="preserve">IOC or OCOG perspective — they require direct input from NOC press</w:t>
      </w:r>
      <w:r>
        <w:t xml:space="preserve"> </w:t>
      </w:r>
      <w:r>
        <w:t xml:space="preserve">accreditation staff. We recommend engaging</w:t>
      </w:r>
      <w:r>
        <w:t xml:space="preserve"> </w:t>
      </w:r>
      <w:r>
        <w:rPr>
          <w:b/>
          <w:bCs/>
        </w:rPr>
        <w:t xml:space="preserve">two NOC representatives</w:t>
      </w:r>
      <w:r>
        <w:t xml:space="preserve">:</w:t>
      </w:r>
      <w:r>
        <w:t xml:space="preserve"> </w:t>
      </w:r>
      <w:r>
        <w:t xml:space="preserve">one large territory (e.g. GBR, GER, or FRA — high application volume)</w:t>
      </w:r>
      <w:r>
        <w:t xml:space="preserve"> </w:t>
      </w:r>
      <w:r>
        <w:t xml:space="preserve">and one smaller territory (e.g. ISL, CYP — simpler workflow, likely to</w:t>
      </w:r>
      <w:r>
        <w:t xml:space="preserve"> </w:t>
      </w:r>
      <w:r>
        <w:t xml:space="preserve">use the streamlined path).</w:t>
      </w:r>
    </w:p>
    <w:p>
      <w:pPr>
        <w:pStyle w:val="BodyText"/>
      </w:pPr>
      <w:r>
        <w:rPr>
          <w:b/>
          <w:bCs/>
        </w:rPr>
        <w:t xml:space="preserve">Suggested format:</w:t>
      </w:r>
      <w:r>
        <w:t xml:space="preserve"> </w:t>
      </w:r>
      <w:r>
        <w:t xml:space="preserve">30-minute walkthrough of the current portal UI</w:t>
      </w:r>
      <w:r>
        <w:t xml:space="preserve"> </w:t>
      </w:r>
      <w:r>
        <w:t xml:space="preserve">with the questions below. NOC contact identification: ask Martyn (OCOG)</w:t>
      </w:r>
      <w:r>
        <w:t xml:space="preserve"> </w:t>
      </w:r>
      <w:r>
        <w:t xml:space="preserve">to facilitate introductions.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535"/>
        <w:gridCol w:w="1605"/>
        <w:gridCol w:w="5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validate with NOC reps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Does the two-mode model (queue sessions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vs. allocation sessions) match how NOC press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officers actually work? Do they need a combined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view?</w:t>
            </w:r>
            <w:r>
              <w:t xml:space="preserve"> </w:t>
            </w:r>
            <w:r>
              <w:rPr>
                <w:b/>
                <w:bCs/>
              </w:rPr>
              <w:t xml:space="preserve">CLOSED 2026-04-17</w:t>
            </w:r>
            <w:r>
              <w:t xml:space="preserve"> </w:t>
            </w:r>
            <w:r>
              <w:t xml:space="preserve">— two-screen model</w:t>
            </w:r>
            <w:r>
              <w:t xml:space="preserve"> </w:t>
            </w:r>
            <w:r>
              <w:t xml:space="preserve">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signals would a large-territory NOC actually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use to triage 400+ applications against an 80-slot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quota?</w:t>
            </w:r>
            <w:r>
              <w:t xml:space="preserve"> </w:t>
            </w:r>
            <w:r>
              <w:rPr>
                <w:b/>
                <w:bCs/>
              </w:rPr>
              <w:t xml:space="preserve">CLOSED 2026-04-17</w:t>
            </w:r>
            <w:r>
              <w:t xml:space="preserve"> </w:t>
            </w:r>
            <w:r>
              <w:t xml:space="preserve">— search/filter</w:t>
            </w:r>
            <w:r>
              <w:t xml:space="preserve"> </w:t>
            </w:r>
            <w:r>
              <w:t xml:space="preserve">improvements scoped (NOC text search, OCOG NOC</w:t>
            </w:r>
            <w:r>
              <w:t xml:space="preserve"> </w:t>
            </w:r>
            <w:r>
              <w:t xml:space="preserve">drill-through).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Is unlimited fast-track with audit-only governance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how NOC press officers would actually want to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operate, or would they want a simple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OCOG-notification mechanism?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2026-04-17</w:t>
            </w:r>
            <w:r>
              <w:t xml:space="preserve"> </w:t>
            </w:r>
            <w:r>
              <w:t xml:space="preserve">— Direct Entry confirmed; audit log</w:t>
            </w:r>
            <w:r>
              <w:t xml:space="preserve"> </w:t>
            </w:r>
            <w:r>
              <w:t xml:space="preserve">is governance mechanism.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inline PbN direct-entry form (name, type,</w:t>
            </w:r>
            <w:r>
              <w:t xml:space="preserve"> </w:t>
            </w:r>
            <w:r>
              <w:t xml:space="preserve">country, category in one step) simple enough for a</w:t>
            </w:r>
            <w:r>
              <w:t xml:space="preserve"> </w:t>
            </w:r>
            <w:r>
              <w:t xml:space="preserve">busy NOC press officer to use without guidance?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two-step EoI → PbN process feel burdensome</w:t>
            </w:r>
            <w:r>
              <w:t xml:space="preserve"> </w:t>
            </w:r>
            <w:r>
              <w:t xml:space="preserve">to a small-territory NOC with only 5–10</w:t>
            </w:r>
            <w:r>
              <w:t xml:space="preserve"> </w:t>
            </w:r>
            <w:r>
              <w:t xml:space="preserve">applicants?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NOCs currently handle press attaché</w:t>
            </w:r>
            <w:r>
              <w:t xml:space="preserve"> </w:t>
            </w:r>
            <w:r>
              <w:t xml:space="preserve">nominations? Does the single-org direct-entry model</w:t>
            </w:r>
            <w:r>
              <w:t xml:space="preserve"> </w:t>
            </w:r>
            <w:r>
              <w:t xml:space="preserve">fit their process? Why would a NOC need multiple</w:t>
            </w:r>
            <w:r>
              <w:t xml:space="preserve"> </w:t>
            </w:r>
            <w:r>
              <w:t xml:space="preserve">direct-entry records for their NOC-E allocation?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document. For the full design specification, see</w:t>
      </w:r>
      <w:r>
        <w:t xml:space="preserve"> </w:t>
      </w:r>
      <w:r>
        <w:rPr>
          <w:rStyle w:val="VerbatimChar"/>
        </w:rPr>
        <w:t xml:space="preserve">docs/MRP-design-confirmation.md</w:t>
      </w:r>
      <w:r>
        <w:rPr>
          <w:i/>
          <w:iCs/>
        </w:rPr>
        <w:t xml:space="preserve">. For questions or feedback, contact</w:t>
      </w:r>
      <w:r>
        <w:rPr>
          <w:i/>
          <w:iCs/>
        </w:rPr>
        <w:t xml:space="preserve"> </w:t>
      </w:r>
      <w:r>
        <w:rPr>
          <w:i/>
          <w:iCs/>
        </w:rPr>
        <w:t xml:space="preserve">Ken (D.TEC).</w:t>
      </w:r>
    </w:p>
    <w:bookmarkEnd w:id="54"/>
    <w:bookmarkEnd w:id="55"/>
    <w:sectPr w:rsidR="002415E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FFFFFF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FFFFFFF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74664018" w:numId="1">
    <w:abstractNumId w:val="0"/>
  </w:num>
  <w:num w16cid:durableId="684130850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2805016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49430801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1818515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3987920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369658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0711628" w:numId="8">
    <w:abstractNumId w:val="1"/>
  </w:num>
  <w:num w16cid:durableId="1442410848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8148811" w:numId="10">
    <w:abstractNumId w:val="1"/>
  </w:num>
  <w:num w16cid:durableId="1329364859" w:numId="11">
    <w:abstractNumId w:val="1"/>
  </w:num>
  <w:num w16cid:durableId="1712877724" w:numId="12">
    <w:abstractNumId w:val="1"/>
  </w:num>
  <w:num w16cid:durableId="762340120" w:numId="13">
    <w:abstractNumId w:val="1"/>
  </w:num>
  <w:num w16cid:durableId="1343043492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4332306" w:numId="15">
    <w:abstractNumId w:val="1"/>
  </w:num>
  <w:num w16cid:durableId="1893734575"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03925544" w:numId="17">
    <w:abstractNumId w:val="1"/>
  </w:num>
  <w:num w16cid:durableId="140468640" w:numId="18">
    <w:abstractNumId w:val="1"/>
  </w:num>
  <w:num w16cid:durableId="1781991280" w:numId="19">
    <w:abstractNumId w:val="1"/>
  </w:num>
  <w:num w16cid:durableId="1942835887"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3179973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9463973" w:numId="22">
    <w:abstractNumId w:val="1"/>
  </w:num>
  <w:num w16cid:durableId="1987782496"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10"/>
  <w:doNotDisplayPageBoundaries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trackRevision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B8154D"/>
    <w:rsid w:val="00001F86"/>
    <w:rsid w:val="0001264B"/>
    <w:rsid w:val="00043807"/>
    <w:rsid w:val="000617FF"/>
    <w:rsid w:val="00064C0D"/>
    <w:rsid w:val="00082A7E"/>
    <w:rsid w:val="00086644"/>
    <w:rsid w:val="000A573A"/>
    <w:rsid w:val="000B0E67"/>
    <w:rsid w:val="000D363D"/>
    <w:rsid w:val="000E5A0C"/>
    <w:rsid w:val="00107FF5"/>
    <w:rsid w:val="001129FA"/>
    <w:rsid w:val="001207DE"/>
    <w:rsid w:val="00132EC1"/>
    <w:rsid w:val="001362FF"/>
    <w:rsid w:val="0014178A"/>
    <w:rsid w:val="001542F1"/>
    <w:rsid w:val="00165D71"/>
    <w:rsid w:val="00170B2E"/>
    <w:rsid w:val="001F7118"/>
    <w:rsid w:val="002157AE"/>
    <w:rsid w:val="002228C4"/>
    <w:rsid w:val="00223EBC"/>
    <w:rsid w:val="002415EC"/>
    <w:rsid w:val="00254EC8"/>
    <w:rsid w:val="00265E61"/>
    <w:rsid w:val="002866ED"/>
    <w:rsid w:val="002E5794"/>
    <w:rsid w:val="00301ABB"/>
    <w:rsid w:val="00305B97"/>
    <w:rsid w:val="00313E55"/>
    <w:rsid w:val="00315766"/>
    <w:rsid w:val="00325686"/>
    <w:rsid w:val="0035457A"/>
    <w:rsid w:val="003A40BB"/>
    <w:rsid w:val="003B77B6"/>
    <w:rsid w:val="003C0872"/>
    <w:rsid w:val="003D240E"/>
    <w:rsid w:val="003F5104"/>
    <w:rsid w:val="00403004"/>
    <w:rsid w:val="004052A9"/>
    <w:rsid w:val="0040751D"/>
    <w:rsid w:val="00453255"/>
    <w:rsid w:val="00462886"/>
    <w:rsid w:val="004640E2"/>
    <w:rsid w:val="004851BA"/>
    <w:rsid w:val="004903A1"/>
    <w:rsid w:val="0049483C"/>
    <w:rsid w:val="004968F6"/>
    <w:rsid w:val="004A5372"/>
    <w:rsid w:val="004C45ED"/>
    <w:rsid w:val="004D4B3F"/>
    <w:rsid w:val="004D5FDA"/>
    <w:rsid w:val="004E5B23"/>
    <w:rsid w:val="00504F2E"/>
    <w:rsid w:val="00514C1E"/>
    <w:rsid w:val="00515779"/>
    <w:rsid w:val="00516880"/>
    <w:rsid w:val="00530105"/>
    <w:rsid w:val="00536DCF"/>
    <w:rsid w:val="00576AE1"/>
    <w:rsid w:val="005A5507"/>
    <w:rsid w:val="005B43B3"/>
    <w:rsid w:val="005F7003"/>
    <w:rsid w:val="00651044"/>
    <w:rsid w:val="006514FD"/>
    <w:rsid w:val="00651D46"/>
    <w:rsid w:val="00652235"/>
    <w:rsid w:val="006542D6"/>
    <w:rsid w:val="00664468"/>
    <w:rsid w:val="006703A8"/>
    <w:rsid w:val="00670B09"/>
    <w:rsid w:val="00673CB1"/>
    <w:rsid w:val="006A27D4"/>
    <w:rsid w:val="006C26C8"/>
    <w:rsid w:val="006C6BEC"/>
    <w:rsid w:val="006D2758"/>
    <w:rsid w:val="00704A42"/>
    <w:rsid w:val="0071448C"/>
    <w:rsid w:val="00715730"/>
    <w:rsid w:val="00720640"/>
    <w:rsid w:val="00721921"/>
    <w:rsid w:val="00724AE3"/>
    <w:rsid w:val="007308EE"/>
    <w:rsid w:val="007324A2"/>
    <w:rsid w:val="00732E65"/>
    <w:rsid w:val="00750B44"/>
    <w:rsid w:val="00750D5E"/>
    <w:rsid w:val="00752CB5"/>
    <w:rsid w:val="00786C32"/>
    <w:rsid w:val="007F1313"/>
    <w:rsid w:val="00832B1A"/>
    <w:rsid w:val="00837306"/>
    <w:rsid w:val="0085292F"/>
    <w:rsid w:val="00853D95"/>
    <w:rsid w:val="008564B5"/>
    <w:rsid w:val="00880FFC"/>
    <w:rsid w:val="008B07DC"/>
    <w:rsid w:val="008E5F50"/>
    <w:rsid w:val="009150FC"/>
    <w:rsid w:val="009230D0"/>
    <w:rsid w:val="00944C02"/>
    <w:rsid w:val="00970687"/>
    <w:rsid w:val="00993F0C"/>
    <w:rsid w:val="009A3961"/>
    <w:rsid w:val="009B4F0A"/>
    <w:rsid w:val="009D0742"/>
    <w:rsid w:val="009D35F1"/>
    <w:rsid w:val="00A5354D"/>
    <w:rsid w:val="00A93B45"/>
    <w:rsid w:val="00A96DE3"/>
    <w:rsid w:val="00AD254A"/>
    <w:rsid w:val="00AE1D98"/>
    <w:rsid w:val="00B000DA"/>
    <w:rsid w:val="00B059A4"/>
    <w:rsid w:val="00B139CB"/>
    <w:rsid w:val="00B40188"/>
    <w:rsid w:val="00B6051D"/>
    <w:rsid w:val="00B83129"/>
    <w:rsid w:val="00B90660"/>
    <w:rsid w:val="00BA3C22"/>
    <w:rsid w:val="00C00332"/>
    <w:rsid w:val="00C346F5"/>
    <w:rsid w:val="00C55A36"/>
    <w:rsid w:val="00C60057"/>
    <w:rsid w:val="00C70471"/>
    <w:rsid w:val="00CD7987"/>
    <w:rsid w:val="00D04BC8"/>
    <w:rsid w:val="00D12684"/>
    <w:rsid w:val="00D23EC4"/>
    <w:rsid w:val="00D3020E"/>
    <w:rsid w:val="00D432C3"/>
    <w:rsid w:val="00D6607C"/>
    <w:rsid w:val="00D67BE7"/>
    <w:rsid w:val="00D76098"/>
    <w:rsid w:val="00D96C54"/>
    <w:rsid w:val="00DA44DE"/>
    <w:rsid w:val="00DC4129"/>
    <w:rsid w:val="00DD4C4C"/>
    <w:rsid w:val="00E04485"/>
    <w:rsid w:val="00E076CC"/>
    <w:rsid w:val="00E47516"/>
    <w:rsid w:val="00E47558"/>
    <w:rsid w:val="00E66681"/>
    <w:rsid w:val="00E666C4"/>
    <w:rsid w:val="00E916AA"/>
    <w:rsid w:val="00EA163A"/>
    <w:rsid w:val="00EB2A04"/>
    <w:rsid w:val="00EB41B4"/>
    <w:rsid w:val="00ED2463"/>
    <w:rsid w:val="00EE2E1A"/>
    <w:rsid w:val="00EE6D48"/>
    <w:rsid w:val="00F1244E"/>
    <w:rsid w:val="00F4214D"/>
    <w:rsid w:val="00F56654"/>
    <w:rsid w:val="00F623B4"/>
    <w:rsid w:val="00F76DD0"/>
    <w:rsid w:val="00F910AC"/>
    <w:rsid w:val="00F92313"/>
    <w:rsid w:val="00FC0B42"/>
    <w:rsid w:val="00FE20EA"/>
    <w:rsid w:val="01D95FA5"/>
    <w:rsid w:val="051C0418"/>
    <w:rsid w:val="07B54CF2"/>
    <w:rsid w:val="091B6470"/>
    <w:rsid w:val="0AFEA6A2"/>
    <w:rsid w:val="0D1602DC"/>
    <w:rsid w:val="0F614573"/>
    <w:rsid w:val="12AF1580"/>
    <w:rsid w:val="1DB27C30"/>
    <w:rsid w:val="1E2F85E5"/>
    <w:rsid w:val="2442A9F0"/>
    <w:rsid w:val="248B27EC"/>
    <w:rsid w:val="24B5FAA4"/>
    <w:rsid w:val="256E981C"/>
    <w:rsid w:val="2697E432"/>
    <w:rsid w:val="291430B4"/>
    <w:rsid w:val="2B8C0F1E"/>
    <w:rsid w:val="2D691221"/>
    <w:rsid w:val="34CF1D31"/>
    <w:rsid w:val="3823867A"/>
    <w:rsid w:val="3904A325"/>
    <w:rsid w:val="3909C199"/>
    <w:rsid w:val="3F7054F7"/>
    <w:rsid w:val="3F8E27DF"/>
    <w:rsid w:val="49A18B4A"/>
    <w:rsid w:val="4EDABBDA"/>
    <w:rsid w:val="5324EAAC"/>
    <w:rsid w:val="5EB8154D"/>
    <w:rsid w:val="6D8B82D4"/>
    <w:rsid w:val="6E1DD50F"/>
    <w:rsid w:val="7266C2BD"/>
    <w:rsid w:val="759F9313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CommentText" w:type="paragraph">
    <w:name w:val="annotation text"/>
    <w:basedOn w:val="Normal"/>
    <w:link w:val="CommentTextChar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Pr>
      <w:sz w:val="20"/>
      <w:szCs w:val="20"/>
    </w:rPr>
  </w:style>
  <w:style w:styleId="CommentReference" w:type="character">
    <w:name w:val="annotation reference"/>
    <w:basedOn w:val="DefaultParagraphFont"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rsid w:val="006D2758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6D2758"/>
    <w:rPr>
      <w:b/>
      <w:bCs/>
      <w:sz w:val="20"/>
      <w:szCs w:val="20"/>
    </w:rPr>
  </w:style>
  <w:style w:styleId="Revision" w:type="paragraph">
    <w:name w:val="Revision"/>
    <w:hidden/>
    <w:rsid w:val="00F623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10495</Words>
  <Characters>55625</Characters>
  <Application>Microsoft Office Word</Application>
  <DocSecurity>0</DocSecurity>
  <Lines>1090</Lines>
  <Paragraphs>482</Paragraphs>
  <ScaleCrop>false</ScaleCrop>
  <Company/>
  <LinksUpToDate>false</LinksUpToDate>
  <CharactersWithSpaces>65638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2026-04-18T01:56:03Z</dcterms:created>
  <dcterms:modified xsi:type="dcterms:W3CDTF">2026-04-18T01:56:03Z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