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43AB0675" w:rsidR="00253CBF" w:rsidRPr="003B61A3" w:rsidRDefault="003B61A3" w:rsidP="003B61A3">
      <w:r w:rsidRPr="003B61A3">
        <w:t>- Inclua exemplos práticos para ilustrar as políticas e procedimentos. Isso ajuda os leitores a entender melhor como aplicar as informações na prática.</w:t>
      </w:r>
    </w:p>
    <w:sectPr w:rsidR="00253CBF" w:rsidRPr="003B6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294752"/>
    <w:rsid w:val="003B61A3"/>
    <w:rsid w:val="004D7839"/>
    <w:rsid w:val="005705B5"/>
    <w:rsid w:val="009000AE"/>
    <w:rsid w:val="009F4744"/>
    <w:rsid w:val="00A73CD5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17</cp:revision>
  <dcterms:created xsi:type="dcterms:W3CDTF">2023-11-03T15:52:00Z</dcterms:created>
  <dcterms:modified xsi:type="dcterms:W3CDTF">2023-11-03T15:56:00Z</dcterms:modified>
</cp:coreProperties>
</file>