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B57"/>
          <w:sz w:val="20"/>
          <w:szCs w:val="20"/>
        </w:rPr>
        <w:t xml:space="preserve">PetroTech Energy Ltd.</w:t>
      </w:r>
    </w:p>
    <w:p>
      <w:pPr>
        <w:spacing w:after="40"/>
        <w:jc w:val="center"/>
      </w:pPr>
      <w:r>
        <w:rPr>
          <w:color w:val="555555"/>
          <w:sz w:val="18"/>
          <w:szCs w:val="18"/>
        </w:rPr>
        <w:t xml:space="preserve">Digital Operations Team — Weekly Technical Report</w:t>
      </w:r>
    </w:p>
    <w:p>
      <w:pPr>
        <w:pBdr>
          <w:bottom w:val="single" w:color="1F3B57" w:sz="6" w:space="8"/>
        </w:pBdr>
        <w:spacing w:after="300"/>
        <w:jc w:val="center"/>
      </w:pPr>
      <w:r>
        <w:rPr>
          <w:sz w:val="4"/>
          <w:szCs w:val="4"/>
        </w:rPr>
        <w:t xml:space="preserve"> </w:t>
      </w:r>
    </w:p>
    <w:p>
      <w:pPr>
        <w:pStyle w:val="Title"/>
        <w:spacing w:after="100"/>
      </w:pPr>
      <w:r>
        <w:rPr>
          <w:b/>
          <w:bCs/>
        </w:rPr>
        <w:t xml:space="preserve">Week 1 Technical Report</w:t>
      </w:r>
    </w:p>
    <w:p>
      <w:pPr>
        <w:spacing w:after="160"/>
      </w:pPr>
      <w:r>
        <w:rPr>
          <w:i/>
          <w:iCs/>
          <w:color w:val="555555"/>
          <w:sz w:val="22"/>
          <w:szCs w:val="22"/>
        </w:rPr>
        <w:t xml:space="preserve">Production &amp; Drilling Performance Review — 01 July 2026</w:t>
      </w:r>
    </w:p>
    <w:p>
      <w:pPr>
        <w:spacing w:after="160"/>
      </w:pPr>
      <w:r>
        <w:rPr>
          <w:color w:val="555555"/>
          <w:sz w:val="20"/>
          <w:szCs w:val="20"/>
        </w:rPr>
        <w:t xml:space="preserve">Prepared by: Macdonald, Graduate Digital Petroleum Engineer</w:t>
      </w:r>
    </w:p>
    <w:p>
      <w:pPr>
        <w:pStyle w:val="Heading1"/>
        <w:spacing w:after="150" w:before="300"/>
      </w:pPr>
      <w:r>
        <w:t xml:space="preserve">1. Production Analysis</w:t>
      </w:r>
    </w:p>
    <w:p>
      <w:pPr>
        <w:spacing w:after="160"/>
      </w:pPr>
      <w:r>
        <w:t xml:space="preserve">Daily production data across the Alpha, Bravo, and Charlie fields was queried to identify strong performers and wells requiring intervention. Results are summarized below.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600"/>
      </w:tblGrid>
      <w:tr>
        <w:tc>
          <w:tcPr>
            <w:tcW w:type="dxa" w:w="2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Well</w:t>
            </w:r>
          </w:p>
        </w:tc>
        <w:tc>
          <w:tcPr>
            <w:tcW w:type="dxa" w:w="2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Oil (bbl/day)</w:t>
            </w:r>
          </w:p>
        </w:tc>
      </w:tr>
      <w:tr>
        <w:tc>
          <w:tcPr>
            <w:tcW w:type="dxa" w:w="22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A101</w:t>
            </w:r>
          </w:p>
        </w:tc>
        <w:tc>
          <w:tcPr>
            <w:tcW w:type="dxa" w:w="22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Alpha</w:t>
            </w:r>
          </w:p>
        </w:tc>
        <w:tc>
          <w:tcPr>
            <w:tcW w:type="dxa" w:w="22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Active</w:t>
            </w:r>
          </w:p>
        </w:tc>
        <w:tc>
          <w:tcPr>
            <w:tcW w:type="dxa" w:w="26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3,150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A102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Alpha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Active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1,950</w:t>
            </w:r>
          </w:p>
        </w:tc>
      </w:tr>
      <w:tr>
        <w:tc>
          <w:tcPr>
            <w:tcW w:type="dxa" w:w="22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B101</w:t>
            </w:r>
          </w:p>
        </w:tc>
        <w:tc>
          <w:tcPr>
            <w:tcW w:type="dxa" w:w="22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Bravo</w:t>
            </w:r>
          </w:p>
        </w:tc>
        <w:tc>
          <w:tcPr>
            <w:tcW w:type="dxa" w:w="22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Active</w:t>
            </w:r>
          </w:p>
        </w:tc>
        <w:tc>
          <w:tcPr>
            <w:tcW w:type="dxa" w:w="26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2,810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C101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Charlie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Shut-in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C102</w:t>
            </w:r>
          </w:p>
        </w:tc>
        <w:tc>
          <w:tcPr>
            <w:tcW w:type="dxa" w:w="22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Charlie</w:t>
            </w:r>
          </w:p>
        </w:tc>
        <w:tc>
          <w:tcPr>
            <w:tcW w:type="dxa" w:w="22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Active</w:t>
            </w:r>
          </w:p>
        </w:tc>
        <w:tc>
          <w:tcPr>
            <w:tcW w:type="dxa" w:w="26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3,550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t xml:space="preserve">Which field appears strongest?</w:t>
      </w:r>
    </w:p>
    <w:p>
      <w:pPr>
        <w:spacing w:after="160"/>
      </w:pPr>
      <w:r>
        <w:t xml:space="preserve">Charlie posts the single highest producer in the asset — C102 at 3,550 bbl/day — but the field is dragged down by C101, which is currently shut-in and contributing zero barrels. Bravo's single well, B101, is a solid, consistent performer at 2,810 bbl/day. Alpha runs two wells with combined output similar to Bravo alone, but neither individual well matches C102's rate. On a per-active-well basis, Charlie and Alpha are close, with Bravo close behind; the real story is Charlie's shut-in well rather than any field being categorically weak.</w:t>
      </w:r>
    </w:p>
    <w:p>
      <w:pPr>
        <w:pStyle w:val="Heading2"/>
        <w:spacing w:after="150" w:before="300"/>
      </w:pPr>
      <w:r>
        <w:t xml:space="preserve">Which wells require attention?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C101 (Charlie) — shut-in, producing zero barrels; root cause should be confirmed before returning to service.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A102 (Alpha) — lowest active producer at 1,950 bbl/day; worth a diagnostic check (pump efficiency, drawdown) to see if it is underperforming its potential.</w:t>
      </w:r>
    </w:p>
    <w:p>
      <w:pPr>
        <w:pStyle w:val="Heading2"/>
        <w:spacing w:after="150" w:before="300"/>
      </w:pPr>
      <w:r>
        <w:t xml:space="preserve">Highest producers</w:t>
      </w:r>
    </w:p>
    <w:p>
      <w:pPr>
        <w:spacing w:after="160"/>
      </w:pPr>
      <w:r>
        <w:t xml:space="preserve">C102 (3,550 bbl/day) and A101 (3,150 bbl/day) are the top performers and should be monitored closely to sustain current rates.</w:t>
      </w:r>
    </w:p>
    <w:p>
      <w:pPr>
        <w:pStyle w:val="Heading1"/>
        <w:spacing w:after="150" w:before="300"/>
      </w:pPr>
      <w:r>
        <w:t xml:space="preserve">2. Drilling Analysis</w:t>
      </w:r>
    </w:p>
    <w:p>
      <w:pPr>
        <w:spacing w:after="160"/>
      </w:pPr>
      <w:r>
        <w:t xml:space="preserve">Drilling performance was reviewed across three active rigs to identify efficiency issues and non-productive time (NPT) drivers.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1600"/>
        <w:gridCol w:w="2200"/>
        <w:gridCol w:w="1400"/>
      </w:tblGrid>
      <w:tr>
        <w:tc>
          <w:tcPr>
            <w:tcW w:type="dxa" w:w="1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Rig</w:t>
            </w:r>
          </w:p>
        </w:tc>
        <w:tc>
          <w:tcPr>
            <w:tcW w:type="dxa" w:w="1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Well</w:t>
            </w:r>
          </w:p>
        </w:tc>
        <w:tc>
          <w:tcPr>
            <w:tcW w:type="dxa" w:w="1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Depth (m)</w:t>
            </w:r>
          </w:p>
        </w:tc>
        <w:tc>
          <w:tcPr>
            <w:tcW w:type="dxa" w:w="1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ROP (m/hr)</w:t>
            </w:r>
          </w:p>
        </w:tc>
        <w:tc>
          <w:tcPr>
            <w:tcW w:type="dxa" w:w="2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Bit Type</w:t>
            </w:r>
          </w:p>
        </w:tc>
        <w:tc>
          <w:tcPr>
            <w:tcW w:type="dxa" w:w="1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NPT (hr)</w:t>
            </w:r>
          </w:p>
        </w:tc>
      </w:tr>
      <w:tr>
        <w:tc>
          <w:tcPr>
            <w:tcW w:type="dxa" w:w="16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Rig-21</w:t>
            </w:r>
          </w:p>
        </w:tc>
        <w:tc>
          <w:tcPr>
            <w:tcW w:type="dxa" w:w="12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850</w:t>
            </w:r>
          </w:p>
        </w:tc>
        <w:tc>
          <w:tcPr>
            <w:tcW w:type="dxa" w:w="16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18.4</w:t>
            </w:r>
          </w:p>
        </w:tc>
        <w:tc>
          <w:tcPr>
            <w:tcW w:type="dxa" w:w="22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PDC</w:t>
            </w:r>
          </w:p>
        </w:tc>
        <w:tc>
          <w:tcPr>
            <w:tcW w:type="dxa" w:w="14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Rig-19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1,100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9.5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Roller Cone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6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Rig-25</w:t>
            </w:r>
          </w:p>
        </w:tc>
        <w:tc>
          <w:tcPr>
            <w:tcW w:type="dxa" w:w="12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1,320</w:t>
            </w:r>
          </w:p>
        </w:tc>
        <w:tc>
          <w:tcPr>
            <w:tcW w:type="dxa" w:w="16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21.3</w:t>
            </w:r>
          </w:p>
        </w:tc>
        <w:tc>
          <w:tcPr>
            <w:tcW w:type="dxa" w:w="22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PDC</w:t>
            </w:r>
          </w:p>
        </w:tc>
        <w:tc>
          <w:tcPr>
            <w:tcW w:type="dxa" w:w="14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Rig-21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950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13.2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Hybrid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6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Rig-19</w:t>
            </w:r>
          </w:p>
        </w:tc>
        <w:tc>
          <w:tcPr>
            <w:tcW w:type="dxa" w:w="12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780</w:t>
            </w:r>
          </w:p>
        </w:tc>
        <w:tc>
          <w:tcPr>
            <w:tcW w:type="dxa" w:w="16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8.4</w:t>
            </w:r>
          </w:p>
        </w:tc>
        <w:tc>
          <w:tcPr>
            <w:tcW w:type="dxa" w:w="22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Roller Cone</w:t>
            </w:r>
          </w:p>
        </w:tc>
        <w:tc>
          <w:tcPr>
            <w:tcW w:type="dxa" w:w="14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D3D"/>
                <w:sz w:val="20"/>
                <w:szCs w:val="20"/>
              </w:rPr>
              <w:t xml:space="preserve">9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t xml:space="preserve">Which rigs have drilling issues?</w:t>
      </w:r>
    </w:p>
    <w:p>
      <w:pPr>
        <w:spacing w:after="160"/>
      </w:pPr>
      <w:r>
        <w:t xml:space="preserve">Rig-19 is the clear underperformer, running both of its wells below a 10 m/hr ROP threshold (9.5 and 8.4 m/hr) and logging the highest combined NPT in the dataset (7 and 9 hours respectively). By contrast, Rig-21 and Rig-25 are both delivering ROPs above 13 m/hr with comparatively low NPT.</w:t>
      </w:r>
    </w:p>
    <w:p>
      <w:pPr>
        <w:pStyle w:val="Heading2"/>
        <w:spacing w:after="150" w:before="300"/>
      </w:pPr>
      <w:r>
        <w:t xml:space="preserve">What likely caused low ROP?</w:t>
      </w:r>
    </w:p>
    <w:p>
      <w:pPr>
        <w:spacing w:after="160"/>
      </w:pPr>
      <w:r>
        <w:t xml:space="preserve">Both of Rig-19's low-ROP wells were drilled with Roller Cone bits, whereas the faster wells used PDC or Hybrid bits. This points to bit selection as the primary suspect — Roller Cone bits are generally slower in the formations being drilled here — compounded by the elevated NPT, which suggests additional mechanical or tripping delays rather than formation hardness alone.</w:t>
      </w:r>
    </w:p>
    <w:p>
      <w:pPr>
        <w:pStyle w:val="Heading2"/>
        <w:spacing w:after="150" w:before="300"/>
      </w:pPr>
      <w:r>
        <w:t xml:space="preserve">Which wells should be investigated first?</w:t>
      </w:r>
    </w:p>
    <w:p>
      <w:pPr>
        <w:spacing w:after="160"/>
      </w:pPr>
      <w:r>
        <w:t xml:space="preserve">Well 10 (Rig-19) should be reviewed first — it combines the lowest ROP (8.4 m/hr) with the highest NPT (9 hours) in the dataset. Well 7 (Rig-19) should follow, as it shares the same rig and bit-type pattern. A bit-selection review for Rig-19, alongside an NPT breakdown to separate mechanical downtime from formation-driven slowdowns, is recommended before its next run.</w:t>
      </w:r>
    </w:p>
    <w:p>
      <w:pPr>
        <w:pStyle w:val="Heading1"/>
        <w:spacing w:after="150" w:before="300"/>
      </w:pPr>
      <w:r>
        <w:t xml:space="preserve">Recommended Actions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Investigate the shut-in status of C101 and develop a return-to-production plan.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a diagnostic on A102 to identify the cause of below-average output.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Switch Rig-19 to a PDC or Hybrid bit on its next well, matching the higher-performing rigs.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Conduct an NPT breakdown on Rig-19 to isolate mechanical vs. formation-driven delays.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2026-07-19T12:10:46.337Z</dcterms:created>
  <dcterms:modified xsi:type="dcterms:W3CDTF">2026-07-19T12:10:46.350Z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