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rPr>
          <w:vertAlign w:val="superscript"/>
        </w:rPr>
        <w:footnoteReference w:id="2"/>
      </w:r>
      <w:r>
        <w:t xml:space="preserve"> with two footnotes</w:t>
      </w:r>
      <w:r>
        <w:rPr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r>
        <w:rPr>
          <w:vertAlign w:val="superscript"/>
        </w:rPr>
        <w:footnoteRef/>
      </w:r>
      <w:r>
        <w:t xml:space="preserve"> This is the second footnote content.</w:t>
      </w:r>
    </w:p>
  </w:footnote>
  <w:footnote w:id="2">
    <w:p>
      <w:r>
        <w:rPr>
          <w:vertAlign w:val="superscript"/>
        </w:rPr>
        <w:footnoteRef/>
      </w:r>
      <w:r>
        <w:t xml:space="preserve"> 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