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Endnote Test</w:t>
      </w:r>
      <w:r>
        <w:endnoteReference w:id="2"/>
      </w:r>
    </w:p>
    <w:sectPr>
      <w:pgSz w:w="11900" w:h="16840" w:orient="portrait"/>
      <w:pgMar w:header="720" w:footer="720" w:top="1800" w:left="1440" w:right="1440" w:bottom="1800"/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r>
        <w:separator/>
      </w:r>
    </w:p>
  </w:endnote>
  <w:endnote w:type="continuationSeparator" w:id="1">
    <w:p>
      <w:r>
        <w:continuationSeparator/>
      </w:r>
    </w:p>
  </w:endnote>
  <w:endnote w:id="2">
    <w:p>
      <w:r>
        <w:rPr/>
        <w:endnoteRef/>
      </w:r>
      <w:r>
        <w:t xml:space="preserve">This is the content of the endnote.</w:t>
      </w:r>
    </w:p>
  </w:endnote>
</w:end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endnotes" Target="end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