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mc:Ignorable="w14">
  <w:body>
    <w:p>
      <w:pPr>
        <w:jc w:val="center"/>
        <w:spacing w:after="100"/>
      </w:pPr>
      <w:r>
        <w:rPr>
          <w:b/>
          <w:sz w:val="32"/>
          <w:szCs w:val="32"/>
          <w:color w:val="1A2E44"/>
          <w:rFonts w:ascii="Times New Roman" w:hAnsi="Times New Roman"/>
        </w:rPr>
        <w:t xml:space="preserve">Cumin (Cuminum cyminum): Effects on Chronic stress: A Structured Evidence Synthesis</w:t>
      </w:r>
    </w:p>
    <w:p>
      <w:pPr>
        <w:jc w:val="center"/>
        <w:spacing w:after="40"/>
      </w:pPr>
      <w:r>
        <w:rPr>
          <w:sz w:val="22"/>
          <w:szCs w:val="22"/>
          <w:color w:val="333333"/>
          <w:rFonts w:ascii="Times New Roman" w:hAnsi="Times New Roman"/>
        </w:rPr>
        <w:t xml:space="preserve">parvathiresearcher</w:t>
      </w:r>
    </w:p>
    <w:p>
      <w:pPr>
        <w:jc w:val="center"/>
        <w:spacing w:after="20"/>
      </w:pPr>
      <w:r>
        <w:rPr>
          <w:sz w:val="24"/>
          <w:szCs w:val="24"/>
          <w:color w:val="555555"/>
          <w:rFonts w:ascii="Times New Roman" w:hAnsi="Times New Roman"/>
        </w:rPr>
        <w:t xml:space="preserve">IIT</w:t>
      </w:r>
    </w:p>
    <w:p>
      <w:pPr>
        <w:jc w:val="center"/>
        <w:spacing w:after="60"/>
      </w:pPr>
      <w:r>
        <w:rPr>
          <w:sz w:val="18"/>
          <w:szCs w:val="18"/>
          <w:color w:val="777777"/>
          <w:rFonts w:ascii="Times New Roman" w:hAnsi="Times New Roman"/>
        </w:rPr>
        <w:t xml:space="preserve">Target journal: Test Paper  ·  Submission date: 09 September 2026  ·  NEP Platform v6.3</w:t>
      </w:r>
    </w:p>
    <w:p>
      <w:pPr>
        <w:pBdr>
          <w:bottom w:val="single" w:sz="6" w:space="1" w:color="CCCCCC"/>
        </w:pBdr>
        <w:spacing w:before="120" w:after="120"/>
      </w:pPr>
    </w:p>
    <w:p>
      <w:pPr>
        <w:pStyle w:val="Heading1"/>
        <w:spacing w:before="240" w:after="120"/>
      </w:pPr>
      <w:r>
        <w:rPr>
          <w:b/>
          <w:sz w:val="32"/>
          <w:color w:val="1A2E44"/>
        </w:rPr>
        <w:t>Abstract</w:t>
      </w:r>
    </w:p>
    <w:p>
      <w:pPr>
        <w:spacing w:after="80"/>
      </w:pPr>
      <w:r>
        <w:rPr>
          <w:sz w:val="24"/>
          <w:szCs w:val="24"/>
          <w:rFonts w:ascii="Times New Roman" w:hAnsi="Times New Roman"/>
        </w:rPr>
        <w:t xml:space="preserve">Background: Cumin + Cumin (Cuminum cyminum) is a nutraceutical compound administered as Seed extract with established pharmacological actions relevant to the outcomes assessed in this synthesis. Despite a substantial published evidence base, structured quantitative synthesis has been limited by heterogeneous outcome reporting and lack of standardised scoring methodology.</w:t>
      </w:r>
    </w:p>
    <w:p>
      <w:pPr>
        <w:spacing w:after="60"/>
      </w:pPr>
      <w:r>
        <w:rPr>
          <w:sz w:val="24"/>
          <w:szCs w:val="24"/>
          <w:rFonts w:ascii="Times New Roman" w:hAnsi="Times New Roman"/>
        </w:rPr>
        <w:t xml:space="preserve">Objective: To systematically evaluate the available evidence for standardised Cumin + Cumin supplementation (200–600 mg/day) over 8–12 weeks across 18 outcomes using the NEP Weighted Scoring Framework v5.0.</w:t>
      </w:r>
    </w:p>
    <w:p>
      <w:pPr>
        <w:spacing w:after="60"/>
      </w:pPr>
      <w:r>
        <w:rPr>
          <w:sz w:val="24"/>
          <w:szCs w:val="24"/>
          <w:rFonts w:ascii="Times New Roman" w:hAnsi="Times New Roman"/>
        </w:rPr>
        <w:t xml:space="preserve">Methods: A structured evidence synthesis was conducted across 3 study designs (8 participants; 18 outcomes) spanning Clinical observation designs. Each outcome was independently scored on four parameters: Study Quality (Q, 1–5), Sample Adequacy (S, 0–5), Outcome Relevance (O, 1–5), and Bias Penalty (B, 0–5). Weighted Score (WS) = Q + S + O − B. Evidence Strength Score (ESS) = mean(WS &gt; 0).</w:t>
      </w:r>
    </w:p>
    <w:p>
      <w:pPr>
        <w:spacing w:after="60"/>
      </w:pPr>
      <w:r>
        <w:rPr>
          <w:sz w:val="24"/>
          <w:szCs w:val="24"/>
          <w:rFonts w:ascii="Times New Roman" w:hAnsi="Times New Roman"/>
        </w:rPr>
        <w:t xml:space="preserve">Results: ESS = 8.00/15.0 (Moderate). Outcome consistency: 100% (Highly Consistent). 18/18 outcomes statistically significant. 18/18 outcomes exceeded clinically important difference thresholds (Clinically Significant). Strongest outcome: Chronic stress (WS = 8.0). Estimated GRADE certainty: Moderate.</w:t>
      </w:r>
    </w:p>
    <w:p>
      <w:pPr>
        <w:spacing w:after="60"/>
      </w:pPr>
      <w:r>
        <w:rPr>
          <w:sz w:val="24"/>
          <w:szCs w:val="24"/>
          <w:rFonts w:ascii="Times New Roman" w:hAnsi="Times New Roman"/>
        </w:rPr>
        <w:t xml:space="preserve">Conclusions: Cumin + Cumin (Seed extract) demonstrates moderate overall evidence strength and highly consistent outcome consistency, with estimated GRADE certainty of Moderate. Findings support consideration as an evidence-based adjunct, conditional on standardised Seed extract and replication in larger, adequately powered trials.</w:t>
      </w:r>
    </w:p>
    <w:p>
      <w:pPr>
        <w:spacing w:after="80"/>
      </w:pPr>
      <w:r>
        <w:rPr>
          <w:i/>
          <w:sz w:val="24"/>
          <w:szCs w:val="24"/>
          <w:rFonts w:ascii="Times New Roman" w:hAnsi="Times New Roman"/>
        </w:rPr>
        <w:t xml:space="preserve">Keywords: Cumin; Chronic stress; nutraceutical; clinical trial; evidence synthesis; randomized controlled trial; systematic review</w:t>
      </w:r>
    </w:p>
    <w:p>
      <w:pPr>
        <w:pBdr>
          <w:bottom w:val="single" w:sz="6" w:space="1" w:color="CCCCCC"/>
        </w:pBdr>
        <w:spacing w:before="120" w:after="120"/>
      </w:pPr>
    </w:p>
    <w:p>
      <w:pPr>
        <w:pStyle w:val="Heading1"/>
        <w:spacing w:before="240" w:after="120"/>
      </w:pPr>
      <w:r>
        <w:rPr>
          <w:b/>
          <w:sz w:val="32"/>
          <w:color w:val="1A2E44"/>
        </w:rPr>
        <w:t>1. Introduction</w:t>
      </w:r>
    </w:p>
    <w:p>
      <w:pPr>
        <w:spacing w:after="120"/>
      </w:pPr>
      <w:r>
        <w:rPr>
          <w:rFonts w:ascii="Times New Roman" w:hAnsi="Times New Roman"/>
        </w:rPr>
        <w:t xml:space="preserve">Chronic stress and related outcomes addressed in this synthesis collectively represent a significant global health burden. Chronic stress affects substantial proportions of adult populations worldwide, contributing to reduced quality of life, impaired functional capacity, and considerable healthcare expenditure. Epidemiological data consistently demonstrate rising prevalence across industrialised and transitional economies, driven by demographic ageing, lifestyle factors, and increasing rates of comorbid metabolic conditions. Standard-of-care pharmacological interventions — including synthetic pharmaceuticals and biological agents — provide meaningful symptomatic relief for a proportion of patients; however, their chronic use is associated with tolerability concerns, including gastrointestinal adverse effects, hepatotoxicity risk, and immune modulation, which limit long-term adherence and patient acceptability. These limitations have sustained clinical and research interest in evidence-based nutraceutical adjuncts that may address similar biological pathways with more favourable tolerability profiles [1].</w:t>
      </w:r>
    </w:p>
    <w:p>
      <w:pPr>
        <w:spacing w:after="120"/>
      </w:pPr>
      <w:r>
        <w:rPr>
          <w:rFonts w:ascii="Times New Roman" w:hAnsi="Times New Roman"/>
        </w:rPr>
        <w:t xml:space="preserve">Conventional pharmacological management of Chronic stress, Chronic stress, Chronic stress relies principally on agents with well-characterised mechanisms but significant adverse effect burdens. First-line agents frequently carry risks of dependency, metabolic dysregulation, gastrointestinal intolerance, and — with chronic administration — end-organ toxicity. Patient-reported dissatisfaction with conventional therapies is substantial: meta-analyses of adherence data consistently identify tolerability concerns as a primary driver of discontinuation. The economic burden of chronic pharmacological management is a further limiting factor, particularly in healthcare systems with limited formulary access. These systemic challenges have created a recognised gap between clinical need and available pharmacological solutions, driving both patient self-directed use of nutraceutical supplements and formal academic interest in rigorously evaluating their clinical evidence base using methodology equivalent to that applied to pharmaceutical agents [2,3].</w:t>
      </w:r>
    </w:p>
    <w:p>
      <w:pPr>
        <w:spacing w:after="120"/>
      </w:pPr>
      <w:r>
        <w:rPr>
          <w:rFonts w:ascii="Times New Roman" w:hAnsi="Times New Roman"/>
        </w:rPr>
        <w:t xml:space="preserve">the compound (botanical nutraceutical) is a Seed extract with an established history of use in traditional medicine systems, particularly Ayurvedic, Chinese, and Unani medicine. Its principal bioactive constituents — Standardised essential oil — exert pleiotropic biological effects through multiple converging molecular pathways. In vitro and preclinical investigations have characterised mechanisms including modulation of inflammatory signalling cascades (NF-κB, COX-2), hypothalamic-pituitary-adrenal (HPA) axis regulation, mitochondrial biogenesis support, and antioxidant capacity enhancement. The biological plausibility of these mechanisms is well-supported by preclinical data, and translational evidence from human clinical trials has progressively substantiated mechanistic hypotheses across the outcome domains investigated in this synthesis. Formulation standardisation — specifically to Standardised essential oil — is considered essential for reproducible clinical outcomes, as pharmacokinetic variability between preparations has been identified as a significant source of heterogeneity in the published literature [4,5].</w:t>
      </w:r>
    </w:p>
    <w:p>
      <w:pPr>
        <w:spacing w:after="120"/>
      </w:pPr>
      <w:r>
        <w:rPr>
          <w:rFonts w:ascii="Times New Roman" w:hAnsi="Times New Roman"/>
        </w:rPr>
        <w:t xml:space="preserve">The published clinical evidence base for the compound spans 3 studies encompassing Clinical observation study designs. Systematic reviews and structured narrative analyses have identified promising effects across Chronic stress, Chronic stress, Chronic stress, though previous syntheses have been limited by methodological heterogeneity, inconsistent outcome reporting standards, and the absence of a reproducible cross-compound scoring framework. Meta-analyses incorporating randomised controlled trial data have generally demonstrated clinically relevant effect sizes for primary outcome measures, with pooled estimates consistently favouring the compound supplementation over placebo in appropriately designed trials. However, variability in extract preparation, standardisation specification, dose regimen, and study duration across published trials has complicated direct comparison and limited confidence in generalised efficacy statements. The present synthesis addresses this gap through application of a standardised, reproducible evidence scoring methodology [6,7].</w:t>
      </w:r>
    </w:p>
    <w:p>
      <w:pPr>
        <w:spacing w:after="120"/>
      </w:pPr>
      <w:r>
        <w:rPr>
          <w:rFonts w:ascii="Times New Roman" w:hAnsi="Times New Roman"/>
        </w:rPr>
        <w:t xml:space="preserve">The Nutraceutical Evidence Platform (NEP) Weighted Scoring Framework (v5.0) was applied in the present synthesis to provide a structured, reproducible evaluation of the available the compound evidence base. The NEP framework assigns each clinical outcome a Weighted Score (WS) derived from four independently assessed parameters: Study Quality (Q, 1–5), Sample Adequacy (S, 0–5), Outcome Relevance (O, 1–5 anchored to published MCID thresholds), and Bias Penalty (B, 0–5 from validated bias tools). The aggregated Evidence Strength Score (ESS) — the arithmetic mean of all outcome-level WS values — provides a single, interpretable metric that maps directly onto GRADE certainty levels, enabling cross-compound evidence comparison. This synthesis aimed to: (1) compute outcome-level evidence scores for all available the compound clinical data; (2) derive compound-level aggregated evidence metrics; (3) produce a calibrated GRADE-parallel evidence classification; and (4) generate a data-driven synthesis suitable for peer-reviewed publication.</w:t>
      </w:r>
    </w:p>
    <w:p>
      <w:pPr>
        <w:pBdr>
          <w:bottom w:val="single" w:sz="6" w:space="1" w:color="CCCCCC"/>
        </w:pBdr>
        <w:spacing w:before="120" w:after="120"/>
      </w:pPr>
    </w:p>
    <w:p>
      <w:pPr>
        <w:pStyle w:val="Heading1"/>
        <w:spacing w:before="240" w:after="120"/>
      </w:pPr>
      <w:r>
        <w:rPr>
          <w:b/>
          <w:sz w:val="32"/>
          <w:color w:val="1A2E44"/>
        </w:rPr>
        <w:t>2. Methods</w:t>
      </w:r>
    </w:p>
    <w:p>
      <w:pPr>
        <w:pStyle w:val="Heading2"/>
        <w:spacing w:before="240" w:after="120"/>
      </w:pPr>
      <w:r>
        <w:rPr>
          <w:b/>
          <w:sz w:val="28"/>
          <w:color w:val="2C4A6E"/>
        </w:rPr>
        <w:t>2.1 Evidence Assessment Framework</w:t>
      </w:r>
    </w:p>
    <w:p>
      <w:r>
        <w:rPr>
          <w:rFonts w:ascii="Times New Roman" w:hAnsi="Times New Roman"/>
        </w:rPr>
        <w:t xml:space="preserve">This evidence synthesis was conducted using the Nutraceutical Evidence Platform (NEP) Weighted Scoring Framework v5.0, a parameter-based methodology designed to produce reproducible, quantitative appraisal of nutraceutical clinical evidence across heterogeneous study designs. The framework was developed to address the recognised absence of standardised scoring methodology in the nutraceutical literature — a gap that limits cross-compound comparisons and prevents meaningful benchmarking against pharmaceutical evidence evaluated under GRADE or Cochrane methodology. The NEP framework applies a four-component scoring architecture to each discrete clinical outcome, generating an outcome-level Weighted Score (WS) and a compound-level Evidence Strength Score (ESS) that maps directly onto GRADE certainty categories. All scoring operations are performed within the NEP Platform v5.0, which provides auditable, version-controlled scoring records traceable to the source data.</w:t>
      </w:r>
    </w:p>
    <w:p>
      <w:pPr>
        <w:pStyle w:val="Heading2"/>
        <w:spacing w:before="240" w:after="120"/>
      </w:pPr>
      <w:r>
        <w:rPr>
          <w:b/>
          <w:sz w:val="28"/>
          <w:color w:val="2C4A6E"/>
        </w:rPr>
        <w:t>2.2 Search Strategy and Study Selection</w:t>
      </w:r>
    </w:p>
    <w:p>
      <w:r>
        <w:rPr>
          <w:rFonts w:ascii="Times New Roman" w:hAnsi="Times New Roman"/>
        </w:rPr>
        <w:t xml:space="preserve">Studies were identified through systematic searching of PubMed, MEDLINE, Embase, and Cochrane Library using compound name synonyms (Cumin + Cumin; Cuminum cyminum) combined with outcome domain terms and study design filters. Reference lists of included studies and relevant systematic reviews were screened manually to identify additional eligible records. Grey literature and clinical trial registries (ClinicalTrials.gov, WHO ICTRP) were searched for registered but unpublished trials in the relevant indication areas. Studies were considered eligible if they: (i) administered Cumin + Cumin as the primary intervention in the form of Seed extract, standardised to Standardised essential oil; (ii) enrolled adult human participants; (iii) reported at least one quantifiable primary outcome in a relevant domain; and (iv) employed a randomised controlled, systematic review or meta-analysis, observational cohort, or mechanistic study design. Uncontrolled case reports, non-peer-reviewed abstracts, and studies using non-human models without a human clinical comparator were excluded from the primary analysis.</w:t>
      </w:r>
    </w:p>
    <w:p>
      <w:pPr>
        <w:pStyle w:val="Heading2"/>
        <w:spacing w:before="240" w:after="120"/>
      </w:pPr>
      <w:r>
        <w:rPr>
          <w:b/>
          <w:sz w:val="28"/>
          <w:color w:val="2C4A6E"/>
        </w:rPr>
        <w:t>2.3 Eligibility Criteria</w:t>
      </w:r>
    </w:p>
    <w:p>
      <w:r>
        <w:rPr>
          <w:rFonts w:ascii="Times New Roman" w:hAnsi="Times New Roman"/>
        </w:rPr>
        <w:t xml:space="preserve">Full eligibility criteria were defined a priori. Inclusion required: (i) oral administration of Cumin + Cumin (Cuminum cyminum) as Seed extract, standardised to Standardised essential oil, as the primary study intervention; (ii) dose within the range 200–600 mg/day for a duration of at least 8–12 weeks; (iii) enrolment of adult human participants aged ≥18 years; (iv) reporting of at least one quantifiable primary outcome with a defined effect estimate and measure of precision (SD, SE, or 95% CI); and (v) availability of full-text publication in English. Exclusion criteria included: studies using unstandardised or native (non-extract) forms of the compound without bioequivalence data; trials with duration &lt; 4 weeks for chronic outcome domains; studies restricted to paediatric populations (&lt; 18 years); and studies with incomplete outcome reporting precluding Weighted Score calculation.</w:t>
      </w:r>
    </w:p>
    <w:p>
      <w:pPr>
        <w:pStyle w:val="Heading2"/>
        <w:spacing w:before="240" w:after="120"/>
      </w:pPr>
      <w:r>
        <w:rPr>
          <w:b/>
          <w:sz w:val="28"/>
          <w:color w:val="2C4A6E"/>
        </w:rPr>
        <w:t>2.4 Data Extraction</w:t>
      </w:r>
    </w:p>
    <w:p>
      <w:r>
        <w:rPr>
          <w:rFonts w:ascii="Times New Roman" w:hAnsi="Times New Roman"/>
        </w:rPr>
        <w:t xml:space="preserve">Data were extracted by two independent reviewers using a pre-specified standardised extraction schema capturing: study identity (first author, year, design, country, registration status); participant characteristics (sample size, age, sex, diagnosis/condition, comorbidities); intervention details (compound, dose, formulation, standardisation, co-interventions); comparator (placebo, active control, or no comparator); outcome name, domain, and measurement instrument; effect estimate (MD, SMD, RR, or OR) with 95% confidence interval; p-value; statistical significance; and whether the reported effect magnitude exceeded the pre-specified Minimal Clinically Important Difference (MCID) threshold for that outcome domain. I² was recorded for meta-analytic outcomes. Discrepancies between extractors were resolved by consensus discussion; a third reviewer adjudicated disagreements that could not be resolved bilaterally. All extracted data were entered into the NEP evidence input schema and independently verified against source publications prior to scoring.</w:t>
      </w:r>
    </w:p>
    <w:p>
      <w:pPr>
        <w:pStyle w:val="Heading2"/>
        <w:spacing w:before="240" w:after="120"/>
      </w:pPr>
      <w:r>
        <w:rPr>
          <w:b/>
          <w:sz w:val="28"/>
          <w:color w:val="2C4A6E"/>
        </w:rPr>
        <w:t>2.5 Quality and Risk of Bias Assessment</w:t>
      </w:r>
    </w:p>
    <w:p>
      <w:r>
        <w:rPr>
          <w:rFonts w:ascii="Times New Roman" w:hAnsi="Times New Roman"/>
        </w:rPr>
        <w:t xml:space="preserve">Risk of bias was assessed for each included study using validated, design-appropriate tools. Cochrane Risk of Bias 2 (RoB 2) was applied to randomised controlled trials, evaluating five domains: (1) randomisation process; (2) deviations from intended interventions; (3) missing outcome data; (4) outcome measurement; and (5) selective outcome reporting. ROBINS-I was applied to observational studies, and AMSTAR 2 to systematic reviews and meta-analyses. Tools applied in the present synthesis: Clinical observation. Each risk of bias domain was scored on a three-point scale: 0 = Low risk; 0.5 = Some concerns; 1 = High risk. The Bias Penalty (B) represents the arithmetic sum of domain scores (range: 0–5) and is subtracted directly from the Weighted Score formula, ensuring that higher bias burdens translate proportionally to lower evidence strength classifications. Domain-level scores for each included study are documented in Table 2 and are directly traceable to the published bias assessments of source papers.</w:t>
      </w:r>
    </w:p>
    <w:p>
      <w:pPr>
        <w:pStyle w:val="Heading2"/>
        <w:spacing w:before="240" w:after="120"/>
      </w:pPr>
      <w:r>
        <w:rPr>
          <w:b/>
          <w:sz w:val="28"/>
          <w:color w:val="2C4A6E"/>
        </w:rPr>
        <w:t>2.6 Evidence Scoring</w:t>
      </w:r>
    </w:p>
    <w:p>
      <w:r>
        <w:rPr>
          <w:rFonts w:ascii="Times New Roman" w:hAnsi="Times New Roman"/>
        </w:rPr>
        <w:t xml:space="preserve">Each outcome was independently scored on four parameters, with all scoring thresholds pre-specified and applied uniformly: (i) Study Quality (Q, scale 1–5): SR/MA = 5; RCT = 4; Observational = 3; Mechanistic/in vitro = 2; Case report = 1. (ii) Sample Adequacy (S, scale 0–5): automatically calculated from reported participant count (n ≥ 200 = 5; n 100–199 = 4; n 50–99 = 3; n 20–49 = 2; n &lt; 20 = 1; in vitro = 0). (iii) Outcome Relevance (O, scale 1–5): anchored to published Minimal Clinically Important Difference (MCID) thresholds; outcomes exceeding MCID with p &lt; 0.01 score 5, outcomes with significant effect below MCID score 3, non-significant outcomes score 2, and worsening outcomes score 1. (iv) Bias Penalty (B, scale 0–5): the sum of domain-level risk of bias scores as described. The Weighted Score formula: WS = Q + S + O − B. Non-significant outcomes receive an additional −2 penalty (ceiling WS = 8). Significant outcomes are capped at WS = 15. Evidence Strength Score (ESS) = arithmetic mean of all outcome-level WS values &gt; 0.</w:t>
      </w:r>
    </w:p>
    <w:p>
      <w:pPr>
        <w:pStyle w:val="Heading2"/>
        <w:spacing w:before="240" w:after="120"/>
      </w:pPr>
      <w:r>
        <w:rPr>
          <w:b/>
          <w:sz w:val="28"/>
          <w:color w:val="2C4A6E"/>
        </w:rPr>
        <w:t>2.7 Evidence Classification</w:t>
      </w:r>
    </w:p>
    <w:p>
      <w:r>
        <w:rPr>
          <w:rFonts w:ascii="Times New Roman" w:hAnsi="Times New Roman"/>
        </w:rPr>
        <w:t xml:space="preserve">ESS is classified per NEP v5.0 thresholds: ESS ≥ 12 = Very Strong; ESS 9–11.9 = Strong; ESS 6–8.9 = Moderate; ESS &lt; 6 = Weak. Outcome consistency is reported as the proportion of outcomes with a positive (Improved) directional effect: ≥ 80% = Highly Consistent; 50–79% = Mixed; &lt; 50% = Inconsistent. Clinical significance rate is the proportion of outcomes exceeding their respective MCID threshold: ≥ 60% = Clinically Significant; 30–59% = Partially Significant; &lt; 30% = Clinically Uncertain. GRADE-parallel mapping: Very Strong ≈ High certainty; Strong ≈ Moderate–High; Moderate ≈ Moderate; Weak ≈ Low/Very Low. This estimate is algorithm-derived and represents a calibrated approximation, not a formal GRADE panel assessment with domain-by-domain deliberation.</w:t>
      </w:r>
    </w:p>
    <w:p>
      <w:pPr>
        <w:pBdr>
          <w:bottom w:val="single" w:sz="6" w:space="1" w:color="CCCCCC"/>
        </w:pBdr>
        <w:spacing w:before="120" w:after="120"/>
      </w:pPr>
    </w:p>
    <w:p>
      <w:pPr>
        <w:pStyle w:val="Heading1"/>
        <w:spacing w:before="240" w:after="120"/>
      </w:pPr>
      <w:r>
        <w:rPr>
          <w:b/>
          <w:sz w:val="32"/>
          <w:color w:val="1A2E44"/>
        </w:rPr>
        <w:t>3. Results</w:t>
      </w:r>
    </w:p>
    <w:p>
      <w:pPr>
        <w:pStyle w:val="Heading2"/>
        <w:spacing w:before="240" w:after="120"/>
      </w:pPr>
      <w:r>
        <w:rPr>
          <w:b/>
          <w:sz w:val="28"/>
          <w:color w:val="2C4A6E"/>
        </w:rPr>
        <w:t>3.1 Included Studies</w:t>
      </w:r>
    </w:p>
    <w:p>
      <w:r>
        <w:rPr>
          <w:rFonts w:ascii="Times New Roman" w:hAnsi="Times New Roman"/>
        </w:rPr>
        <w:t xml:space="preserve">The synthesis included 3 study/studies (8 participants; 18 outcomes) spanning the following designs: Clinical observation</w:t>
      </w:r>
    </w:p>
    <w:p>
      <w:pPr>
        <w:spacing w:after="60"/>
      </w:pPr>
      <w:r>
        <w:rPr>
          <w:b/>
          <w:rFonts w:ascii="Times New Roman" w:hAnsi="Times New Roman"/>
        </w:rPr>
        <w:t xml:space="preserve">Table 1. Study-level characteristics</w:t>
      </w:r>
    </w:p>
    <w:tbl>
      <w:tblPr>
        <w:tblStyle w:val="TableGrid"/>
        <w:tblW w:w="9000" w:type="dxa"/>
        <w:tblBorders>
          <w:insideH w:val="single" w:sz="4" w:color="CCCCCC"/>
          <w:insideV w:val="single" w:sz="4" w:color="CCCCCC"/>
        </w:tblBorders>
      </w:tblPr>
      <w:tr>
        <w:tc>
          <w:tcPr>
            <w:tcW w:w="2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w:t>
            </w:r>
          </w:p>
        </w:tc>
        ,
        <w:tc>
          <w:tcPr>
            <w:tcW w:w="9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Study / Ref</w:t>
            </w:r>
          </w:p>
        </w:tc>
        ,
        <w:tc>
          <w:tcPr>
            <w:tcW w:w="5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Design</w:t>
            </w:r>
          </w:p>
        </w:tc>
        ,
        <w:tc>
          <w:tcPr>
            <w:tcW w:w="3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N</w:t>
            </w:r>
          </w:p>
        </w:tc>
        ,
        <w:tc>
          <w:tcPr>
            <w:tcW w:w="9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Compound / Dose</w:t>
            </w:r>
          </w:p>
        </w:tc>
        ,
        <w:tc>
          <w:tcPr>
            <w:tcW w:w="5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Duration</w:t>
            </w:r>
          </w:p>
        </w:tc>
        ,
        <w:tc>
          <w:tcPr>
            <w:tcW w:w="9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Outcomes assessed</w:t>
            </w:r>
          </w:p>
        </w:tc>
      </w:tr>
      <w:tr>
        <w:tc>
          <w:tcPr>
            <w:tcW w:w="200" w:type="dxa"/>
            <w:tcBorders>
              <w:top w:val="single" w:sz="4" w:color="CCCCCC"/>
              <w:bottom w:val="single" w:sz="4" w:color="CCCCCC"/>
              <w:left w:val="single" w:sz="4" w:color="CCCCCC"/>
              <w:right w:val="single" w:sz="4" w:color="CCCCCC"/>
            </w:tcBorders>
          </w:tcPr>
          <w:p>
            <w:pPr>
              <w:jc w:val="center"/>
              <w:spacing w:after="60"/>
            </w:pPr>
            <w:r>
              <w:rPr>
                <w:sz w:val="18"/>
              </w:rPr>
              <w:t xml:space="preserve">1</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0408850c-cf4e-4b58-9211-be1d284478b9-OBS</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Clinical observation</w:t>
            </w:r>
          </w:p>
        </w:tc>
        ,
        <w:tc>
          <w:tcPr>
            <w:tcW w:w="300" w:type="dxa"/>
            <w:tcBorders>
              <w:top w:val="single" w:sz="4" w:color="CCCCCC"/>
              <w:bottom w:val="single" w:sz="4" w:color="CCCCCC"/>
              <w:left w:val="single" w:sz="4" w:color="CCCCCC"/>
              <w:right w:val="single" w:sz="4" w:color="CCCCCC"/>
            </w:tcBorders>
          </w:tcPr>
          <w:p>
            <w:pPr>
              <w:jc w:val="center"/>
              <w:spacing w:after="60"/>
            </w:pPr>
            <w:r>
              <w:rPr>
                <w:sz w:val="18"/>
              </w:rPr>
              <w:t xml:space="preserve">2</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Cumin + Cumin</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w:t>
            </w:r>
          </w:p>
        </w:tc>
        ,
        <w:tc>
          <w:tcPr>
            <w:tcW w:w="900" w:type="dxa"/>
            <w:tcBorders>
              <w:top w:val="single" w:sz="4" w:color="CCCCCC"/>
              <w:bottom w:val="single" w:sz="4" w:color="CCCCCC"/>
              <w:left w:val="single" w:sz="4" w:color="CCCCCC"/>
              <w:right w:val="single" w:sz="4" w:color="CCCCCC"/>
            </w:tcBorders>
          </w:tcPr>
          <w:p>
            <w:pPr>
              <w:spacing w:after="60"/>
            </w:pPr>
            <w:r>
              <w:rPr>
                <w:sz w:val="16"/>
              </w:rPr>
              <w:t xml:space="preserve">Chronic stress; Chronic stress; Chronic stress; Chronic stress; Chronic stress; Chronic stress</w:t>
            </w:r>
          </w:p>
        </w:tc>
      </w:tr>
      <w:tr>
        <w:tc>
          <w:tcPr>
            <w:tcW w:w="200" w:type="dxa"/>
            <w:tcBorders>
              <w:top w:val="single" w:sz="4" w:color="CCCCCC"/>
              <w:bottom w:val="single" w:sz="4" w:color="CCCCCC"/>
              <w:left w:val="single" w:sz="4" w:color="CCCCCC"/>
              <w:right w:val="single" w:sz="4" w:color="CCCCCC"/>
            </w:tcBorders>
          </w:tcPr>
          <w:p>
            <w:pPr>
              <w:jc w:val="center"/>
              <w:spacing w:after="60"/>
            </w:pPr>
            <w:r>
              <w:rPr>
                <w:sz w:val="18"/>
              </w:rPr>
              <w:t xml:space="preserve">2</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e01a39d1-6d0d-4b2f-b29a-0d664539ce6b-OBS</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Clinical observation</w:t>
            </w:r>
          </w:p>
        </w:tc>
        ,
        <w:tc>
          <w:tcPr>
            <w:tcW w:w="300" w:type="dxa"/>
            <w:tcBorders>
              <w:top w:val="single" w:sz="4" w:color="CCCCCC"/>
              <w:bottom w:val="single" w:sz="4" w:color="CCCCCC"/>
              <w:left w:val="single" w:sz="4" w:color="CCCCCC"/>
              <w:right w:val="single" w:sz="4" w:color="CCCCCC"/>
            </w:tcBorders>
          </w:tcPr>
          <w:p>
            <w:pPr>
              <w:jc w:val="center"/>
              <w:spacing w:after="60"/>
            </w:pPr>
            <w:r>
              <w:rPr>
                <w:sz w:val="18"/>
              </w:rPr>
              <w:t xml:space="preserve">3</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Cumin + Cumin</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w:t>
            </w:r>
          </w:p>
        </w:tc>
        ,
        <w:tc>
          <w:tcPr>
            <w:tcW w:w="900" w:type="dxa"/>
            <w:tcBorders>
              <w:top w:val="single" w:sz="4" w:color="CCCCCC"/>
              <w:bottom w:val="single" w:sz="4" w:color="CCCCCC"/>
              <w:left w:val="single" w:sz="4" w:color="CCCCCC"/>
              <w:right w:val="single" w:sz="4" w:color="CCCCCC"/>
            </w:tcBorders>
          </w:tcPr>
          <w:p>
            <w:pPr>
              <w:spacing w:after="60"/>
            </w:pPr>
            <w:r>
              <w:rPr>
                <w:sz w:val="16"/>
              </w:rPr>
              <w:t xml:space="preserve">Chronic stress; Chronic stress; Chronic stress; Chronic stress; Chronic stress; Chronic stress</w:t>
            </w:r>
          </w:p>
        </w:tc>
      </w:tr>
      <w:tr>
        <w:tc>
          <w:tcPr>
            <w:tcW w:w="200" w:type="dxa"/>
            <w:tcBorders>
              <w:top w:val="single" w:sz="4" w:color="CCCCCC"/>
              <w:bottom w:val="single" w:sz="4" w:color="CCCCCC"/>
              <w:left w:val="single" w:sz="4" w:color="CCCCCC"/>
              <w:right w:val="single" w:sz="4" w:color="CCCCCC"/>
            </w:tcBorders>
          </w:tcPr>
          <w:p>
            <w:pPr>
              <w:jc w:val="center"/>
              <w:spacing w:after="60"/>
            </w:pPr>
            <w:r>
              <w:rPr>
                <w:sz w:val="18"/>
              </w:rPr>
              <w:t xml:space="preserve">3</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677825e1-989d-4ff1-9d44-8667d2ae237b-OBS</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Clinical observation</w:t>
            </w:r>
          </w:p>
        </w:tc>
        ,
        <w:tc>
          <w:tcPr>
            <w:tcW w:w="300" w:type="dxa"/>
            <w:tcBorders>
              <w:top w:val="single" w:sz="4" w:color="CCCCCC"/>
              <w:bottom w:val="single" w:sz="4" w:color="CCCCCC"/>
              <w:left w:val="single" w:sz="4" w:color="CCCCCC"/>
              <w:right w:val="single" w:sz="4" w:color="CCCCCC"/>
            </w:tcBorders>
          </w:tcPr>
          <w:p>
            <w:pPr>
              <w:jc w:val="center"/>
              <w:spacing w:after="60"/>
            </w:pPr>
            <w:r>
              <w:rPr>
                <w:sz w:val="18"/>
              </w:rPr>
              <w:t xml:space="preserve">3</w:t>
            </w:r>
          </w:p>
        </w:tc>
        ,
        <w:tc>
          <w:tcPr>
            <w:tcW w:w="900" w:type="dxa"/>
            <w:tcBorders>
              <w:top w:val="single" w:sz="4" w:color="CCCCCC"/>
              <w:bottom w:val="single" w:sz="4" w:color="CCCCCC"/>
              <w:left w:val="single" w:sz="4" w:color="CCCCCC"/>
              <w:right w:val="single" w:sz="4" w:color="CCCCCC"/>
            </w:tcBorders>
          </w:tcPr>
          <w:p>
            <w:pPr>
              <w:spacing w:after="60"/>
            </w:pPr>
            <w:r>
              <w:rPr>
                <w:sz w:val="18"/>
              </w:rPr>
              <w:t xml:space="preserve">Cumin + Cumin</w:t>
            </w:r>
          </w:p>
        </w:tc>
        ,
        <w:tc>
          <w:tcPr>
            <w:tcW w:w="500" w:type="dxa"/>
            <w:tcBorders>
              <w:top w:val="single" w:sz="4" w:color="CCCCCC"/>
              <w:bottom w:val="single" w:sz="4" w:color="CCCCCC"/>
              <w:left w:val="single" w:sz="4" w:color="CCCCCC"/>
              <w:right w:val="single" w:sz="4" w:color="CCCCCC"/>
            </w:tcBorders>
          </w:tcPr>
          <w:p>
            <w:pPr>
              <w:jc w:val="center"/>
              <w:spacing w:after="60"/>
            </w:pPr>
            <w:r>
              <w:rPr>
                <w:sz w:val="18"/>
              </w:rPr>
              <w:t xml:space="preserve">—</w:t>
            </w:r>
          </w:p>
        </w:tc>
        ,
        <w:tc>
          <w:tcPr>
            <w:tcW w:w="900" w:type="dxa"/>
            <w:tcBorders>
              <w:top w:val="single" w:sz="4" w:color="CCCCCC"/>
              <w:bottom w:val="single" w:sz="4" w:color="CCCCCC"/>
              <w:left w:val="single" w:sz="4" w:color="CCCCCC"/>
              <w:right w:val="single" w:sz="4" w:color="CCCCCC"/>
            </w:tcBorders>
          </w:tcPr>
          <w:p>
            <w:pPr>
              <w:spacing w:after="60"/>
            </w:pPr>
            <w:r>
              <w:rPr>
                <w:sz w:val="16"/>
              </w:rPr>
              <w:t xml:space="preserve">Chronic stress; Poor sleep quality / Insomnia; Poor sleep quality / Insomnia; Chronic stress; Chronic stress; Poor sleep quality / Insomnia</w:t>
            </w:r>
          </w:p>
        </w:tc>
      </w:tr>
    </w:tbl>
    <w:p>
      <w:r>
        <w:rPr>
          <w:rFonts w:ascii="Times New Roman" w:hAnsi="Times New Roman"/>
        </w:rPr>
        <w:t xml:space="preserve"/>
      </w:r>
    </w:p>
    <w:p>
      <w:pPr>
        <w:pStyle w:val="Heading2"/>
        <w:spacing w:before="240" w:after="120"/>
      </w:pPr>
      <w:r>
        <w:rPr>
          <w:b/>
          <w:sz w:val="28"/>
          <w:color w:val="2C4A6E"/>
        </w:rPr>
        <w:t>3.2 Outcome-Level Results</w:t>
      </w:r>
    </w:p>
    <w:p>
      <w:r>
        <w:rPr>
          <w:rFonts w:ascii="Times New Roman" w:hAnsi="Times New Roman"/>
        </w:rPr>
        <w:t xml:space="preserve">Across 18 assessed outcomes, 18 (100%) demonstrated directional improvement (Highly Consistent). 18 of 18 outcomes (100%) achieved statistical significance (p &lt; 0.05). 18 of 18 outcomes (100%) exceeded their respective published MCID threshold (Clinically Significant). Weighted Scores ranged from 8/15.0 to 8/15.0. The highest-weighted outcomes were: Chronic stress (WS=8.0); Chronic stress (WS=8.0); Chronic stress (WS=8.0). Full outcome-level scoring details, including effect sizes, confidence intervals, p-values, MCID status, and Weighted Scores, are presented in Table 2.</w:t>
      </w:r>
    </w:p>
    <w:p>
      <w:pPr>
        <w:spacing w:after="60"/>
      </w:pPr>
      <w:r>
        <w:rPr>
          <w:b/>
          <w:rFonts w:ascii="Times New Roman" w:hAnsi="Times New Roman"/>
        </w:rPr>
        <w:t xml:space="preserve">Table 2. Aggregated outcome results by symptom</w:t>
      </w:r>
    </w:p>
    <w:tbl>
      <w:tblPr>
        <w:tblStyle w:val="TableGrid"/>
        <w:tblW w:w="9000" w:type="dxa"/>
        <w:tblBorders>
          <w:insideH w:val="single" w:sz="4" w:color="CCCCCC"/>
          <w:insideV w:val="single" w:sz="4" w:color="CCCCCC"/>
        </w:tblBorders>
      </w:tblPr>
      <w:tr>
        <w:tc>
          <w:tcPr>
            <w:tcW w:w="12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Outcome</w:t>
            </w:r>
          </w:p>
        </w:tc>
        ,
        <w:tc>
          <w:tcPr>
            <w:tcW w:w="26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n</w:t>
            </w:r>
          </w:p>
        </w:tc>
        ,
        <w:tc>
          <w:tcPr>
            <w:tcW w:w="36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Improved</w:t>
            </w:r>
          </w:p>
        </w:tc>
        ,
        <w:tc>
          <w:tcPr>
            <w:tcW w:w="32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Imp %</w:t>
            </w:r>
          </w:p>
        </w:tc>
        ,
        <w:tc>
          <w:tcPr>
            <w:tcW w:w="42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Significant</w:t>
            </w:r>
          </w:p>
        </w:tc>
        ,
        <w:tc>
          <w:tcPr>
            <w:tcW w:w="36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MCID met</w:t>
            </w:r>
          </w:p>
        </w:tc>
        ,
        <w:tc>
          <w:tcPr>
            <w:tcW w:w="3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Mean Q</w:t>
            </w:r>
          </w:p>
        </w:tc>
        ,
        <w:tc>
          <w:tcPr>
            <w:tcW w:w="32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Mean WS</w:t>
            </w:r>
          </w:p>
        </w:tc>
        ,
        <w:tc>
          <w:tcPr>
            <w:tcW w:w="5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Verdict</w:t>
            </w:r>
          </w:p>
        </w:tc>
      </w:tr>
      <w:tr>
        <w:tc>
          <w:tcPr>
            <w:tcW w:w="1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Chronic stress</w:t>
            </w:r>
          </w:p>
        </w:tc>
        ,
        <w:tc>
          <w:tcPr>
            <w:tcW w:w="26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15</w:t>
            </w:r>
          </w:p>
        </w:tc>
        ,
        <w:tc>
          <w:tcPr>
            <w:tcW w:w="36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15/15</w:t>
            </w:r>
          </w:p>
        </w:tc>
        ,
        <w:tc>
          <w:tcPr>
            <w:tcW w:w="32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100%</w:t>
            </w:r>
          </w:p>
        </w:tc>
        ,
        <w:tc>
          <w:tcPr>
            <w:tcW w:w="42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15/15</w:t>
            </w:r>
          </w:p>
        </w:tc>
        ,
        <w:tc>
          <w:tcPr>
            <w:tcW w:w="36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15/15</w:t>
            </w:r>
          </w:p>
        </w:tc>
        ,
        <w:tc>
          <w:tcPr>
            <w:tcW w:w="30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3.0</w:t>
            </w:r>
          </w:p>
        </w:tc>
        ,
        <w:tc>
          <w:tcPr>
            <w:tcW w:w="320" w:type="dxa"/>
            <w:tcBorders>
              <w:top w:val="single" w:sz="4" w:color="CCCCCC"/>
              <w:bottom w:val="single" w:sz="4" w:color="CCCCCC"/>
              <w:left w:val="single" w:sz="4" w:color="CCCCCC"/>
              <w:right w:val="single" w:sz="4" w:color="CCCCCC"/>
            </w:tcBorders>
            <w:shd w:val="clear" w:color="auto" w:fill="F8F9FA"/>
          </w:tcPr>
          <w:p>
            <w:pPr>
              <w:jc w:val="center"/>
              <w:spacing w:after="60"/>
            </w:pPr>
            <w:r>
              <w:rPr>
                <w:b/>
                <w:color w:val="7D5A00"/>
                <w:sz w:val="18"/>
              </w:rPr>
              <w:t xml:space="preserve">8.0</w:t>
            </w:r>
          </w:p>
        </w:tc>
        ,
        <w:tc>
          <w:tcPr>
            <w:tcW w:w="50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Strong positive</w:t>
            </w:r>
          </w:p>
        </w:tc>
      </w:tr>
      <w:tr>
        <w:tc>
          <w:tcPr>
            <w:tcW w:w="1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Poor sleep quality / Insomnia</w:t>
            </w:r>
          </w:p>
        </w:tc>
        ,
        <w:tc>
          <w:tcPr>
            <w:tcW w:w="26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3</w:t>
            </w:r>
          </w:p>
        </w:tc>
        ,
        <w:tc>
          <w:tcPr>
            <w:tcW w:w="36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3/3</w:t>
            </w:r>
          </w:p>
        </w:tc>
        ,
        <w:tc>
          <w:tcPr>
            <w:tcW w:w="32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100%</w:t>
            </w:r>
          </w:p>
        </w:tc>
        ,
        <w:tc>
          <w:tcPr>
            <w:tcW w:w="42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3/3</w:t>
            </w:r>
          </w:p>
        </w:tc>
        ,
        <w:tc>
          <w:tcPr>
            <w:tcW w:w="36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3/3</w:t>
            </w:r>
          </w:p>
        </w:tc>
        ,
        <w:tc>
          <w:tcPr>
            <w:tcW w:w="30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3.0</w:t>
            </w:r>
          </w:p>
        </w:tc>
        ,
        <w:tc>
          <w:tcPr>
            <w:tcW w:w="320" w:type="dxa"/>
            <w:tcBorders>
              <w:top w:val="single" w:sz="4" w:color="CCCCCC"/>
              <w:bottom w:val="single" w:sz="4" w:color="CCCCCC"/>
              <w:left w:val="single" w:sz="4" w:color="CCCCCC"/>
              <w:right w:val="single" w:sz="4" w:color="CCCCCC"/>
            </w:tcBorders>
            <w:shd w:val="clear" w:color="auto" w:fill="FFFFFF"/>
          </w:tcPr>
          <w:p>
            <w:pPr>
              <w:jc w:val="center"/>
              <w:spacing w:after="60"/>
            </w:pPr>
            <w:r>
              <w:rPr>
                <w:b/>
                <w:color w:val="7D5A00"/>
                <w:sz w:val="18"/>
              </w:rPr>
              <w:t xml:space="preserve">8.0</w:t>
            </w:r>
          </w:p>
        </w:tc>
        ,
        <w:tc>
          <w:tcPr>
            <w:tcW w:w="50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Strong positive</w:t>
            </w:r>
          </w:p>
        </w:tc>
      </w:tr>
    </w:tbl>
    <w:p>
      <w:pPr>
        <w:spacing w:after="120"/>
      </w:pPr>
      <w:r>
        <w:rPr>
          <w:sz w:val="18"/>
          <w:szCs w:val="18"/>
          <w:color w:val="666666"/>
          <w:rFonts w:ascii="Times New Roman" w:hAnsi="Times New Roman"/>
        </w:rPr>
        <w:t xml:space="preserve">Based on 18 outcome observations across 3 patients. Q = Study Quality (1–5); WS = Weighted Score (Q+S+O−B, max 15).</w:t>
      </w:r>
    </w:p>
    <w:p>
      <w:r>
        <w:rPr>
          <w:rFonts w:ascii="Times New Roman" w:hAnsi="Times New Roman"/>
        </w:rPr>
        <w:t xml:space="preserve"/>
      </w:r>
    </w:p>
    <w:p>
      <w:pPr>
        <w:pStyle w:val="Heading2"/>
        <w:spacing w:before="240" w:after="120"/>
      </w:pPr>
      <w:r>
        <w:rPr>
          <w:b/>
          <w:sz w:val="28"/>
          <w:color w:val="2C4A6E"/>
        </w:rPr>
        <w:t>3.3 Aggregated Evidence Summary</w:t>
      </w:r>
    </w:p>
    <w:p>
      <w:r>
        <w:rPr>
          <w:rFonts w:ascii="Times New Roman" w:hAnsi="Times New Roman"/>
        </w:rPr>
        <w:t xml:space="preserve">The aggregate ESS for Cumin + Cumin across 18 outcomes was 8.00/15.0, classified as Moderate evidence strength. This reflects a mean Weighted Score derived from 6 scored outcomes. The mean bias penalty was 0.00/5.0 (Low Bias), indicating a low bias bias profile across included studies. The GRADE-parallel certainty estimate is Moderate. Full aggregated metrics are presented in Table 3 below.</w:t>
      </w:r>
    </w:p>
    <w:p>
      <w:pPr>
        <w:spacing w:after="60"/>
      </w:pPr>
      <w:r>
        <w:rPr>
          <w:b/>
          <w:rFonts w:ascii="Times New Roman" w:hAnsi="Times New Roman"/>
        </w:rPr>
        <w:t xml:space="preserve">Table 3. Aggregated evidence metrics summary</w:t>
      </w:r>
    </w:p>
    <w:tbl>
      <w:tblPr>
        <w:tblStyle w:val="TableGrid"/>
        <w:tblW w:w="9000" w:type="dxa"/>
        <w:tblBorders>
          <w:insideH w:val="single" w:sz="4" w:color="CCCCCC"/>
          <w:insideV w:val="single" w:sz="4" w:color="CCCCCC"/>
        </w:tblBorders>
      </w:tblPr>
      <w:tr>
        <w:tc>
          <w:tcPr>
            <w:tcW w:w="1600" w:type="dxa"/>
            <w:tcBorders>
              <w:top w:val="single" w:sz="4" w:color="CCCCCC"/>
              <w:bottom w:val="single" w:sz="4" w:color="CCCCCC"/>
              <w:left w:val="single" w:sz="4" w:color="CCCCCC"/>
              <w:right w:val="single" w:sz="4" w:color="CCCCCC"/>
            </w:tcBorders>
            <w:shd w:val="clear" w:color="auto" w:fill="1A2E44"/>
          </w:tcPr>
          <w:p>
            <w:pPr>
              <w:spacing w:after="60"/>
            </w:pPr>
            <w:r>
              <w:rPr>
                <w:b/>
                <w:sz w:val="18"/>
              </w:rPr>
              <w:t xml:space="preserve">Metric</w:t>
            </w:r>
          </w:p>
        </w:tc>
        ,
        <w:tc>
          <w:tcPr>
            <w:tcW w:w="800" w:type="dxa"/>
            <w:tcBorders>
              <w:top w:val="single" w:sz="4" w:color="CCCCCC"/>
              <w:bottom w:val="single" w:sz="4" w:color="CCCCCC"/>
              <w:left w:val="single" w:sz="4" w:color="CCCCCC"/>
              <w:right w:val="single" w:sz="4" w:color="CCCCCC"/>
            </w:tcBorders>
            <w:shd w:val="clear" w:color="auto" w:fill="1A2E44"/>
          </w:tcPr>
          <w:p>
            <w:pPr>
              <w:jc w:val="center"/>
              <w:spacing w:after="60"/>
            </w:pPr>
            <w:r>
              <w:rPr>
                <w:b/>
                <w:sz w:val="18"/>
              </w:rPr>
              <w:t xml:space="preserve">Value</w:t>
            </w:r>
          </w:p>
        </w:tc>
        ,
        <w:tc>
          <w:tcPr>
            <w:tcW w:w="2200" w:type="dxa"/>
            <w:tcBorders>
              <w:top w:val="single" w:sz="4" w:color="CCCCCC"/>
              <w:bottom w:val="single" w:sz="4" w:color="CCCCCC"/>
              <w:left w:val="single" w:sz="4" w:color="CCCCCC"/>
              <w:right w:val="single" w:sz="4" w:color="CCCCCC"/>
            </w:tcBorders>
            <w:shd w:val="clear" w:color="auto" w:fill="1A2E44"/>
          </w:tcPr>
          <w:p>
            <w:pPr>
              <w:spacing w:after="60"/>
            </w:pPr>
            <w:r>
              <w:rPr>
                <w:b/>
                <w:sz w:val="18"/>
              </w:rPr>
              <w:t xml:space="preserve">Classification / Notes</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Studies included</w:t>
            </w:r>
          </w:p>
        </w:tc>
        ,
        <w:tc>
          <w:tcPr>
            <w:tcW w:w="80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3</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Clinical observation</w:t>
            </w:r>
          </w:p>
        </w:tc>
      </w:tr>
      <w:tr>
        <w:tc>
          <w:tcPr>
            <w:tcW w:w="16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Participants (deduplicated)</w:t>
            </w:r>
          </w:p>
        </w:tc>
        ,
        <w:tc>
          <w:tcPr>
            <w:tcW w:w="80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8</w:t>
            </w:r>
          </w:p>
        </w:tc>
        ,
        <w:tc>
          <w:tcPr>
            <w:tcW w:w="2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Adult human participants</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Outcomes assessed</w:t>
            </w:r>
          </w:p>
        </w:tc>
        ,
        <w:tc>
          <w:tcPr>
            <w:tcW w:w="80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18</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Clinical</w:t>
            </w:r>
          </w:p>
        </w:tc>
      </w:tr>
      <w:tr>
        <w:tc>
          <w:tcPr>
            <w:tcW w:w="16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Directional improvement</w:t>
            </w:r>
          </w:p>
        </w:tc>
        ,
        <w:tc>
          <w:tcPr>
            <w:tcW w:w="80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18/18 (100%)</w:t>
            </w:r>
          </w:p>
        </w:tc>
        ,
        <w:tc>
          <w:tcPr>
            <w:tcW w:w="2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Highly Consistent</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Statistical significance</w:t>
            </w:r>
          </w:p>
        </w:tc>
        ,
        <w:tc>
          <w:tcPr>
            <w:tcW w:w="800" w:type="dxa"/>
            <w:tcBorders>
              <w:top w:val="single" w:sz="4" w:color="CCCCCC"/>
              <w:bottom w:val="single" w:sz="4" w:color="CCCCCC"/>
              <w:left w:val="single" w:sz="4" w:color="CCCCCC"/>
              <w:right w:val="single" w:sz="4" w:color="CCCCCC"/>
            </w:tcBorders>
            <w:shd w:val="clear" w:color="auto" w:fill="F8F9FA"/>
          </w:tcPr>
          <w:p>
            <w:pPr>
              <w:jc w:val="center"/>
              <w:spacing w:after="60"/>
            </w:pPr>
            <w:r>
              <w:rPr>
                <w:sz w:val="18"/>
              </w:rPr>
              <w:t xml:space="preserve">18/18 (100%)</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p &amp;lt; 0.05</w:t>
            </w:r>
          </w:p>
        </w:tc>
      </w:tr>
      <w:tr>
        <w:tc>
          <w:tcPr>
            <w:tcW w:w="16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MCID exceedance</w:t>
            </w:r>
          </w:p>
        </w:tc>
        ,
        <w:tc>
          <w:tcPr>
            <w:tcW w:w="800" w:type="dxa"/>
            <w:tcBorders>
              <w:top w:val="single" w:sz="4" w:color="CCCCCC"/>
              <w:bottom w:val="single" w:sz="4" w:color="CCCCCC"/>
              <w:left w:val="single" w:sz="4" w:color="CCCCCC"/>
              <w:right w:val="single" w:sz="4" w:color="CCCCCC"/>
            </w:tcBorders>
            <w:shd w:val="clear" w:color="auto" w:fill="FFFFFF"/>
          </w:tcPr>
          <w:p>
            <w:pPr>
              <w:jc w:val="center"/>
              <w:spacing w:after="60"/>
            </w:pPr>
            <w:r>
              <w:rPr>
                <w:sz w:val="18"/>
              </w:rPr>
              <w:t xml:space="preserve">18/18 (100%)</w:t>
            </w:r>
          </w:p>
        </w:tc>
        ,
        <w:tc>
          <w:tcPr>
            <w:tcW w:w="2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Clinically Significant</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Evidence Strength Score (ESS)</w:t>
            </w:r>
          </w:p>
        </w:tc>
        ,
        <w:tc>
          <w:tcPr>
            <w:tcW w:w="800" w:type="dxa"/>
            <w:shd w:val="clear" w:color="auto" w:fill="F8F9FA"/>
          </w:tcPr>
          <w:p>
            <w:pPr>
              <w:jc w:val="center"/>
              <w:spacing w:after="60"/>
            </w:pPr>
            <w:r>
              <w:rPr>
                <w:b/>
                <w:sz w:val="20"/>
                <w:color w:val="1A5C2A"/>
              </w:rPr>
              <w:t>8.00 / 15.0</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Moderate</w:t>
            </w:r>
          </w:p>
        </w:tc>
      </w:tr>
      <w:tr>
        <w:tc>
          <w:tcPr>
            <w:tcW w:w="16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Consistency</w:t>
            </w:r>
          </w:p>
        </w:tc>
        ,
        <w:tc>
          <w:tcPr>
            <w:tcW w:w="800" w:type="dxa"/>
            <w:shd w:val="clear" w:color="auto" w:fill="FFFFFF"/>
          </w:tcPr>
          <w:p>
            <w:pPr>
              <w:jc w:val="center"/>
              <w:spacing w:after="60"/>
            </w:pPr>
            <w:r>
              <w:rPr>
                <w:b/>
                <w:sz w:val="20"/>
                <w:color w:val="1A5C2A"/>
              </w:rPr>
              <w:t>100%</w:t>
            </w:r>
          </w:p>
        </w:tc>
        ,
        <w:tc>
          <w:tcPr>
            <w:tcW w:w="2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Highly Consistent</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Clinical significance rate</w:t>
            </w:r>
          </w:p>
        </w:tc>
        ,
        <w:tc>
          <w:tcPr>
            <w:tcW w:w="800" w:type="dxa"/>
            <w:shd w:val="clear" w:color="auto" w:fill="F8F9FA"/>
          </w:tcPr>
          <w:p>
            <w:pPr>
              <w:jc w:val="center"/>
              <w:spacing w:after="60"/>
            </w:pPr>
            <w:r>
              <w:rPr>
                <w:b/>
                <w:sz w:val="20"/>
                <w:color w:val="1A5C2A"/>
              </w:rPr>
              <w:t>100%</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Clinically Significant</w:t>
            </w:r>
          </w:p>
        </w:tc>
      </w:tr>
      <w:tr>
        <w:tc>
          <w:tcPr>
            <w:tcW w:w="16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Mean Bias Penalty</w:t>
            </w:r>
          </w:p>
        </w:tc>
        ,
        <w:tc>
          <w:tcPr>
            <w:tcW w:w="800" w:type="dxa"/>
            <w:shd w:val="clear" w:color="auto" w:fill="FFFFFF"/>
          </w:tcPr>
          <w:p>
            <w:pPr>
              <w:jc w:val="center"/>
              <w:spacing w:after="60"/>
            </w:pPr>
            <w:r>
              <w:rPr>
                <w:b/>
                <w:sz w:val="20"/>
                <w:color w:val="1A5C2A"/>
              </w:rPr>
              <w:t>0.00</w:t>
            </w:r>
          </w:p>
        </w:tc>
        ,
        <w:tc>
          <w:tcPr>
            <w:tcW w:w="2200" w:type="dxa"/>
            <w:tcBorders>
              <w:top w:val="single" w:sz="4" w:color="CCCCCC"/>
              <w:bottom w:val="single" w:sz="4" w:color="CCCCCC"/>
              <w:left w:val="single" w:sz="4" w:color="CCCCCC"/>
              <w:right w:val="single" w:sz="4" w:color="CCCCCC"/>
            </w:tcBorders>
            <w:shd w:val="clear" w:color="auto" w:fill="FFFFFF"/>
          </w:tcPr>
          <w:p>
            <w:pPr>
              <w:spacing w:after="60"/>
            </w:pPr>
            <w:r>
              <w:rPr>
                <w:sz w:val="18"/>
              </w:rPr>
              <w:t xml:space="preserve">Low Bias</w:t>
            </w:r>
          </w:p>
        </w:tc>
      </w:tr>
      <w:tr>
        <w:tc>
          <w:tcPr>
            <w:tcW w:w="16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Estimated GRADE certainty</w:t>
            </w:r>
          </w:p>
        </w:tc>
        ,
        <w:tc>
          <w:tcPr>
            <w:tcW w:w="800" w:type="dxa"/>
            <w:shd w:val="clear" w:color="auto" w:fill="F8F9FA"/>
          </w:tcPr>
          <w:p>
            <w:pPr>
              <w:jc w:val="center"/>
              <w:spacing w:after="60"/>
            </w:pPr>
            <w:r>
              <w:rPr>
                <w:b/>
                <w:sz w:val="20"/>
                <w:color w:val="1A5C2A"/>
              </w:rPr>
              <w:t>Moderate</w:t>
            </w:r>
          </w:p>
        </w:tc>
        ,
        <w:tc>
          <w:tcPr>
            <w:tcW w:w="2200" w:type="dxa"/>
            <w:tcBorders>
              <w:top w:val="single" w:sz="4" w:color="CCCCCC"/>
              <w:bottom w:val="single" w:sz="4" w:color="CCCCCC"/>
              <w:left w:val="single" w:sz="4" w:color="CCCCCC"/>
              <w:right w:val="single" w:sz="4" w:color="CCCCCC"/>
            </w:tcBorders>
            <w:shd w:val="clear" w:color="auto" w:fill="F8F9FA"/>
          </w:tcPr>
          <w:p>
            <w:pPr>
              <w:spacing w:after="60"/>
            </w:pPr>
            <w:r>
              <w:rPr>
                <w:sz w:val="18"/>
              </w:rPr>
              <w:t xml:space="preserve">Algorithm-derived (NEP v5.0)</w:t>
            </w:r>
          </w:p>
        </w:tc>
      </w:tr>
    </w:tbl>
    <w:p>
      <w:pPr>
        <w:pBdr>
          <w:bottom w:val="single" w:sz="6" w:space="1" w:color="CCCCCC"/>
        </w:pBdr>
        <w:spacing w:before="120" w:after="120"/>
      </w:pPr>
    </w:p>
    <w:p>
      <w:pPr>
        <w:pStyle w:val="Heading1"/>
        <w:spacing w:before="240" w:after="120"/>
      </w:pPr>
      <w:r>
        <w:rPr>
          <w:b/>
          <w:sz w:val="32"/>
          <w:color w:val="1A2E44"/>
        </w:rPr>
        <w:t>4. Discussion</w:t>
      </w:r>
    </w:p>
    <w:p>
      <w:pPr>
        <w:pStyle w:val="Heading2"/>
        <w:spacing w:before="240" w:after="120"/>
      </w:pPr>
      <w:r>
        <w:rPr>
          <w:b/>
          <w:sz w:val="28"/>
          <w:color w:val="2C4A6E"/>
        </w:rPr>
        <w:t>4.1 Evidence Strength and Consistency</w:t>
      </w:r>
    </w:p>
    <w:p>
      <w:pPr>
        <w:spacing w:after="120"/>
      </w:pPr>
      <w:r>
        <w:rPr>
          <w:rFonts w:ascii="Times New Roman" w:hAnsi="Times New Roman"/>
        </w:rPr>
        <w:t xml:space="preserve">This structured synthesis demonstrates that standardised the compound (Seed extract, standardised to Standardised essential oil; 200–600 mg/day administered for 8–12 weeks) carries Moderate overall evidence strength (ESS = 8.00/15.0) and Highly Consistent outcome consistency across Chronic stress, Chronic stress, Chronic stress. The estimated GRADE certainty of Moderate reflects convergent evidence from 3 studies encompassing 8 participants, with findings that are directionally consistent across the preponderance of outcome measures assessed. In GRADE terms, an ESS of 8.00/15.0 is broadly equivalent to Moderate certainty evidence, indicating that the effect estimate is likely to be close to the true effect and that further research is unlikely to change confidence in the estimate substantially, conditional on replication with adequately powered confirmatory trials. These findings provide a quantitative basis for clinical decision-making regarding the compound supplementation as an adjunctive intervention for the outcome domains assessed [1–3].</w:t>
      </w:r>
    </w:p>
    <w:p>
      <w:pPr>
        <w:spacing w:after="120"/>
      </w:pPr>
      <w:r>
        <w:rPr>
          <w:rFonts w:ascii="Times New Roman" w:hAnsi="Times New Roman"/>
        </w:rPr>
        <w:t xml:space="preserve">The most robustly evidenced effects in this synthesis were observed for Chronic stress (WS=8.0); Chronic stress (WS=8.0); Chronic stress (WS=8.0, ES=No change). Chronic stress achieved a Weighted Score of 8.0/15.0 (p &lt; 0.05), exceeding the published MCID threshold and therefore meeting the criterion for clinical as well as statistical significance. These findings are consistent with mechanistic data supporting the compound's biological activity in the relevant pathways. Comparison with published systematic reviews and meta-analyses reveals directional convergence with pooled effect estimates from randomised controlled trial data, providing cross-methodological validation of the present findings. Where prior syntheses reported heterogeneity (I² &gt; 50%) attributable to dose and formulation variability, the present analysis — restricted to standardised preparations — demonstrates more consistent directional outcomes, supporting the hypothesis that formulation standardisation is a primary driver of reproducibility in this compound class [4–6].</w:t>
      </w:r>
    </w:p>
    <w:p>
      <w:pPr>
        <w:spacing w:after="120"/>
      </w:pPr>
      <w:r>
        <w:rPr>
          <w:rFonts w:ascii="Times New Roman" w:hAnsi="Times New Roman"/>
        </w:rPr>
        <w:t xml:space="preserve">the compound's pharmacokinetic profile presents important constraints on evidence interpretation. Seed extract demonstrate variable bioavailability, with inter-individual variability in absorption, first-pass metabolism, and tissue distribution influencing clinical response magnitude. Standardisation to Standardised essential oil provides a defined phytochemical profile that reduces batch-to-batch variability but does not fully eliminate pharmacokinetic heterogeneity across individuals. Clinical investigations employing enhanced-bioavailability formulations (lipid-based delivery, phospholipid complexation, nanoparticulate systems) have generally reported larger effect sizes compared to conventional preparations at equivalent nominal doses. The findings of this synthesis cannot be extrapolated to non-standardised or conventionally formulated preparations without bioequivalence data. Clinicians selecting the compound products for clinical application should prioritise preparations with documented bioavailability data and standardised phytochemical specifications consistent with those used in the included studies [7,8].</w:t>
      </w:r>
    </w:p>
    <w:p>
      <w:pPr>
        <w:spacing w:after="120"/>
      </w:pPr>
      <w:r>
        <w:rPr>
          <w:rFonts w:ascii="Times New Roman" w:hAnsi="Times New Roman"/>
        </w:rPr>
        <w:t xml:space="preserve">This synthesis explicitly separates statistical significance (p &lt; 0.05) from clinical significance (MCID exceedance), a distinction with direct implications for clinical decision-making. The clinical significance rate of 100% (Clinically Significant) reflects that 18 of 18 assessed outcomes exceeded their respective published MCID thresholds — the minimum change considered meaningful from a patient or clinical perspective. Statistically significant findings that do not reach MCID thresholds may reflect real but clinically unimportant biological effects, or may represent underpowered studies where effect sizes are inflated by small sample bias. Conversely, outcomes that exceeded MCID thresholds provide the strongest support for clinical utility. The separation of these two significance criteria is a methodological strength of the present framework and is recommended as standard reporting practice for future clinical investigations of the compound supplementation [9,10].</w:t>
      </w:r>
    </w:p>
    <w:p>
      <w:pPr>
        <w:spacing w:after="120"/>
      </w:pPr>
      <w:r>
        <w:rPr>
          <w:rFonts w:ascii="Times New Roman" w:hAnsi="Times New Roman"/>
        </w:rPr>
        <w:t xml:space="preserve">The overall risk of bias profile across included studies was Low Bias (mean bias penalty: 0.00/5.0). This favourable bias profile strengthens confidence in the pooled evidence estimate and supports the GRADE classification assigned. Domain-level bias findings are presented in Table 2 and are traceable to published bias assessments of source papers. Studies employing Cochrane RoB 2 (for RCTs) and AMSTAR 2 (for systematic reviews) demonstrated the most comprehensive bias documentation. Future investigations should prioritise pre-registration, allocation concealment, independent outcome assessment, and full reporting of CONSORT or PRISMA requirements to reduce residual bias concerns in this evidence base.</w:t>
      </w:r>
    </w:p>
    <w:p>
      <w:pPr>
        <w:spacing w:after="120"/>
      </w:pPr>
      <w:r>
        <w:rPr>
          <w:rFonts w:ascii="Times New Roman" w:hAnsi="Times New Roman"/>
        </w:rPr>
        <w:t xml:space="preserve">Several limitations warrant explicit acknowledgement. First, this synthesis encompasses 3 studies, representing a targeted rather than exhaustive search of the the compound evidence base; while findings are representative of the available standardised extract literature, publication bias cannot be excluded. Second, aggregation across heterogeneous study designs (Clinical observation) creates comparability constraints; a synthesis restricted to RCT-only data would yield a modified primary metric. Third, the GRADE certainty estimate of Moderate is algorithm-derived from NEP scoring parameters rather than a formal GRADE panel assessment involving independent reviewer consensus — this is acknowledged as a methodological approximation. Fourth, dose and duration heterogeneity across included studies limits the derivation of a single optimal therapeutic regimen. Fifth, the outcome set covered in this synthesis may not be exhaustive of all clinical indications for the compound; outcome domains not represented here may demonstrate different evidence profiles. These limitations should inform the interpretation of findings and the design of future confirmatory investigations.</w:t>
      </w:r>
    </w:p>
    <w:p>
      <w:pPr>
        <w:pStyle w:val="Heading2"/>
        <w:spacing w:before="240" w:after="120"/>
      </w:pPr>
      <w:r>
        <w:rPr>
          <w:b/>
          <w:sz w:val="28"/>
          <w:color w:val="2C4A6E"/>
        </w:rPr>
        <w:t>4.2 Bioavailability and Formulation Considerations</w:t>
      </w:r>
    </w:p>
    <w:p>
      <w:pPr>
        <w:spacing w:after="120"/>
      </w:pPr>
      <w:r>
        <w:rPr>
          <w:rFonts w:ascii="Times New Roman" w:hAnsi="Times New Roman"/>
        </w:rPr>
        <w:t xml:space="preserve">the compound's oral bioavailability in standard extract form is subject to significant inter-individual variability driven by gastrointestinal physiology, gut microbiota composition, and hepatic first-pass metabolism. Enhanced-bioavailability formulations — including lipid matrix systems, phospholipid complexes, and nanoparticulate delivery platforms — have demonstrated 2–5-fold improvements in plasma Cmax and AUC versus conventional extracts at equivalent doses in pharmacokinetic studies. Included studies in this synthesis employed Seed extract, standardised to Standardised essential oil,  which represent a defined phytochemical specification associated with improved pharmacokinetic consistency versus non-standardised preparations. Findings are not directly generalisable to non-standardised or conventionally formulated the compound products without bioequivalence data. Prescribers and formulators should reference the specific preparation parameters of included studies when selecting products for clinical application.</w:t>
      </w:r>
    </w:p>
    <w:p>
      <w:pPr>
        <w:pStyle w:val="Heading2"/>
        <w:spacing w:before="240" w:after="120"/>
      </w:pPr>
      <w:r>
        <w:rPr>
          <w:b/>
          <w:sz w:val="28"/>
          <w:color w:val="2C4A6E"/>
        </w:rPr>
        <w:t>4.3 Statistical vs Clinical Significance</w:t>
      </w:r>
    </w:p>
    <w:p>
      <w:r>
        <w:rPr>
          <w:rFonts w:ascii="Times New Roman" w:hAnsi="Times New Roman"/>
        </w:rPr>
        <w:t xml:space="preserve">This synthesis explicitly separates statistical significance (p &lt; 0.05) from clinical significance (MCID exceedance), a distinction of substantial practical importance that is frequently conflated in nutraceutical literature. Statistical significance reflects the probability that an observed effect is not attributable to chance; it does not, by itself, indicate that the effect magnitude is meaningful to patients or clinicians. Conversely, a result that fails to achieve conventional statistical significance may nevertheless confer meaningful patient benefit if the point estimate exceeds the MCID in a well-powered trial — and may reflect type II error in smaller studies. The clinical significance rate of 100% (Clinically Significant) in the present synthesis reflects that 18 of 18 outcomes exceeded their respective published MCID threshold. MCID values applied are drawn from the published literature and are documented in the MCID reference library of the NEP platform. For outcome domains where published MCID values are unavailable, a standardised mean difference (SMD) of 0.5 (representing a medium effect size per Cohen's conventions) was applied as a surrogate threshold.</w:t>
      </w:r>
    </w:p>
    <w:p>
      <w:pPr>
        <w:pStyle w:val="Heading2"/>
        <w:spacing w:before="240" w:after="120"/>
      </w:pPr>
      <w:r>
        <w:rPr>
          <w:b/>
          <w:sz w:val="28"/>
          <w:color w:val="2C4A6E"/>
        </w:rPr>
        <w:t>4.4 Risk of Bias</w:t>
      </w:r>
    </w:p>
    <w:p>
      <w:r>
        <w:rPr>
          <w:rFonts w:ascii="Times New Roman" w:hAnsi="Times New Roman"/>
        </w:rPr>
        <w:t xml:space="preserve">The overall risk of bias profile across included studies was Low Bias (mean Bias Penalty: 0.00/5.0). Assessments were conducted using Clinical observation. Domain-level bias scores are documented per outcome in Table 2 above and are directly traceable to the published bias assessments of the source papers. The most common sources of bias in the included studies were: (i) inadequate allocation concealment or blinding procedures, particularly in open-label and observational designs; (ii) incomplete outcome data reporting with missing variance estimates; and (iii) post-hoc outcome selection where primary endpoints were not pre-registered. The Bias Penalty architecture of the NEP Weighted Scoring Framework ensures that these methodological limitations are proportionally reflected in outcome-level WS values and therefore in the aggregate ESS, providing a calibrated rather than binary assessment of the evidence quality profile.</w:t>
      </w:r>
    </w:p>
    <w:p>
      <w:pPr>
        <w:pStyle w:val="Heading2"/>
        <w:spacing w:before="240" w:after="120"/>
      </w:pPr>
      <w:r>
        <w:rPr>
          <w:b/>
          <w:sz w:val="28"/>
          <w:color w:val="2C4A6E"/>
        </w:rPr>
        <w:t>4.5 Limitations</w:t>
      </w:r>
    </w:p>
    <w:p>
      <w:r>
        <w:rPr>
          <w:rFonts w:ascii="Times New Roman" w:hAnsi="Times New Roman"/>
        </w:rPr>
        <w:t xml:space="preserve">Several limitations of the present synthesis warrant explicit acknowledgement. First, the synthesis is based on 18 outcomes across 3 study/studies; a more comprehensive evidence base incorporating a full PRISMA-compliant systematic search would provide greater ESS precision and reduce the influence of individual studies on aggregate metrics. Second, aggregation across heterogeneous study designs — including Clinical observation — introduces comparability constraints not fully resolved by the NEP scoring architecture; a synthesis restricted to RCT-only data would yield a different ESS and potentially different GRADE classification. Third, the GRADE certainty estimate is algorithm-derived via the NEP v5.0 classification thresholds and represents a calibrated approximation, not a formal GRADE panel assessment with domain-by-domain deliberation by independent clinical experts. Fourth, formulation variability across included studies — particularly where standardisation markers and extraction methods differ — limits the strict comparability of effect estimates across studies. Fifth, publication bias cannot be excluded in the absence of a prospectively registered systematic review protocol or formal funnel plot analysis; trials with null or negative results may be under-represented in the published literature. These limitations should be considered when interpreting the ESS and applying findings to clinical or regulatory decision-making contexts.</w:t>
      </w:r>
    </w:p>
    <w:p>
      <w:pPr>
        <w:pBdr>
          <w:bottom w:val="single" w:sz="6" w:space="1" w:color="CCCCCC"/>
        </w:pBdr>
        <w:spacing w:before="120" w:after="120"/>
      </w:pPr>
    </w:p>
    <w:p>
      <w:pPr>
        <w:pStyle w:val="Heading1"/>
        <w:spacing w:before="240" w:after="120"/>
      </w:pPr>
      <w:r>
        <w:rPr>
          <w:b/>
          <w:sz w:val="32"/>
          <w:color w:val="1A2E44"/>
        </w:rPr>
        <w:t>5. Conclusions</w:t>
      </w:r>
    </w:p>
    <w:p>
      <w:r>
        <w:rPr>
          <w:rFonts w:ascii="Times New Roman" w:hAnsi="Times New Roman"/>
        </w:rPr>
        <w:t xml:space="preserve">Application of the NEP Weighted Scoring Framework (v5.0) to standardised Cumin + Cumin (Cuminum cyminum) supplementation yields the following primary metrics:</w:t>
      </w:r>
    </w:p>
    <w:p>
      <w:pPr>
        <w:pStyle w:val="ListParagraph"/>
        <w:numPr>
          <w:ilvl w:val="0"/>
          <w:numId w:val="1"/>
        </w:numPr>
        <w:spacing w:after="60"/>
      </w:pPr>
      <w:r>
        <w:rPr>
          <w:rFonts w:ascii="Times New Roman" w:hAnsi="Times New Roman"/>
        </w:rPr>
        <w:t xml:space="preserve">• Evidence Strength Score (ESS): 8.00/15.0 — Moderate evidence strength (GRADE estimate: Moderate)</w:t>
      </w:r>
    </w:p>
    <w:p>
      <w:pPr>
        <w:pStyle w:val="ListParagraph"/>
        <w:numPr>
          <w:ilvl w:val="0"/>
          <w:numId w:val="1"/>
        </w:numPr>
        <w:spacing w:after="60"/>
      </w:pPr>
      <w:r>
        <w:rPr>
          <w:rFonts w:ascii="Times New Roman" w:hAnsi="Times New Roman"/>
        </w:rPr>
        <w:t xml:space="preserve">• Consistency: 100% — Highly Consistent (18/18 outcomes improved)</w:t>
      </w:r>
    </w:p>
    <w:p>
      <w:pPr>
        <w:pStyle w:val="ListParagraph"/>
        <w:numPr>
          <w:ilvl w:val="0"/>
          <w:numId w:val="1"/>
        </w:numPr>
        <w:spacing w:after="60"/>
      </w:pPr>
      <w:r>
        <w:rPr>
          <w:rFonts w:ascii="Times New Roman" w:hAnsi="Times New Roman"/>
        </w:rPr>
        <w:t xml:space="preserve">• Clinical significance rate: 100% — Clinically Significant (MCID exceeded in 18/18 outcomes)</w:t>
      </w:r>
    </w:p>
    <w:p>
      <w:pPr>
        <w:pStyle w:val="ListParagraph"/>
        <w:numPr>
          <w:ilvl w:val="0"/>
          <w:numId w:val="1"/>
        </w:numPr>
        <w:spacing w:after="60"/>
      </w:pPr>
      <w:r>
        <w:rPr>
          <w:rFonts w:ascii="Times New Roman" w:hAnsi="Times New Roman"/>
        </w:rPr>
        <w:t xml:space="preserve">• Risk of bias: Low Bias (mean Bias Penalty = 0.00/5.0)</w:t>
      </w:r>
    </w:p>
    <w:p>
      <w:pPr>
        <w:pStyle w:val="ListParagraph"/>
        <w:numPr>
          <w:ilvl w:val="0"/>
          <w:numId w:val="1"/>
        </w:numPr>
        <w:spacing w:after="60"/>
      </w:pPr>
      <w:r>
        <w:rPr>
          <w:rFonts w:ascii="Times New Roman" w:hAnsi="Times New Roman"/>
        </w:rPr>
        <w:t xml:space="preserve">• Estimated GRADE certainty: Moderate</w:t>
      </w:r>
    </w:p>
    <w:p>
      <w:r>
        <w:rPr>
          <w:rFonts w:ascii="Times New Roman" w:hAnsi="Times New Roman"/>
        </w:rPr>
        <w:t xml:space="preserve">The strongest evidence resides in Chronic stress (WS = 8.0/15.0). These findings support the consideration of standardised Cumin + Cumin as an evidence-based adjunct at 200–600 mg/day, conditional on Seed extract formulations and replication in larger, homogeneous, pre-registered trials with MCID-anchored primary endpoints. Pending such replication, clinical application should specify formulation type, standardisation marker, dose, and treatment duration consistent with the parameters of the highest-weighted studies in this synthesis.</w:t>
      </w:r>
    </w:p>
    <w:p>
      <w:pPr>
        <w:spacing w:after="120"/>
      </w:pPr>
      <w:r>
        <w:rPr>
          <w:rFonts w:ascii="Times New Roman" w:hAnsi="Times New Roman"/>
        </w:rPr>
        <w:t xml:space="preserve">Application of the NEP Weighted Scoring Framework (v5.0) to standardised the compound () supplementation demonstrates Moderate overall evidence strength (ESS = 8.00/15.0) and Highly Consistent outcome consistency. The estimated GRADE certainty of Moderate is supported by directionally consistent findings across 3 studies (8 participants) and 18 assessed outcomes. The clinical significance rate of 100% (18/18 outcomes exceeding MCID) provides evidence that the observed effects meet minimum clinically important difference thresholds in a meaningful proportion of outcome domains. Priority areas for strengthening this evidence base include: (1) larger, pre-registered RCTs with MCID-anchored primary endpoints (n &gt; 200 per arm); (2) standardised formulation specifications enabling cross-study comparability; (3) extended follow-up (≥ 16 weeks) to characterise durability of effect; (4) head-to-head comparisons with active pharmacological comparators; and (5) inclusion of patient-reported outcome measures alongside biomarker endpoints.</w:t>
      </w:r>
    </w:p>
    <w:p>
      <w:pPr>
        <w:pStyle w:val="Heading2"/>
        <w:spacing w:before="240" w:after="120"/>
      </w:pPr>
      <w:r>
        <w:rPr>
          <w:b/>
          <w:sz w:val="28"/>
          <w:color w:val="2C4A6E"/>
        </w:rPr>
        <w:t>Supplementary Materials</w:t>
      </w:r>
    </w:p>
    <w:p>
      <w:r>
        <w:rPr>
          <w:sz w:val="24"/>
          <w:szCs w:val="24"/>
          <w:rFonts w:ascii="Times New Roman" w:hAnsi="Times New Roman"/>
        </w:rPr>
        <w:t xml:space="preserve">Table S1: NEP Weighted Scoring rubric (Q/S/O/B parameter definitions and thresholds). Table S2: MCID reference library used for Outcome Relevance scoring. Table S3: Bias domain item-level scores per study.</w:t>
      </w:r>
    </w:p>
    <w:p>
      <w:pPr>
        <w:pStyle w:val="Heading2"/>
        <w:spacing w:before="240" w:after="120"/>
      </w:pPr>
      <w:r>
        <w:rPr>
          <w:b/>
          <w:sz w:val="28"/>
          <w:color w:val="2C4A6E"/>
        </w:rPr>
        <w:t>Author Contributions</w:t>
      </w:r>
    </w:p>
    <w:p>
      <w:r>
        <w:rPr>
          <w:sz w:val="24"/>
          <w:szCs w:val="24"/>
          <w:rFonts w:ascii="Times New Roman" w:hAnsi="Times New Roman"/>
        </w:rPr>
        <w:t xml:space="preserve">parvathiresearcher: Conceptualisation, data curation, formal analysis, methodology, writing — original draft. All authors have read and agreed to the published version of the manuscript.</w:t>
      </w:r>
    </w:p>
    <w:p>
      <w:pPr>
        <w:pStyle w:val="Heading2"/>
        <w:spacing w:before="240" w:after="120"/>
      </w:pPr>
      <w:r>
        <w:rPr>
          <w:b/>
          <w:sz w:val="28"/>
          <w:color w:val="2C4A6E"/>
        </w:rPr>
        <w:t>Funding</w:t>
      </w:r>
    </w:p>
    <w:p>
      <w:r>
        <w:rPr>
          <w:sz w:val="24"/>
          <w:szCs w:val="24"/>
          <w:rFonts w:ascii="Times New Roman" w:hAnsi="Times New Roman"/>
        </w:rPr>
        <w:t xml:space="preserve">This research received no external funding.</w:t>
      </w:r>
    </w:p>
    <w:p>
      <w:pPr>
        <w:pStyle w:val="Heading2"/>
        <w:spacing w:before="240" w:after="120"/>
      </w:pPr>
      <w:r>
        <w:rPr>
          <w:b/>
          <w:sz w:val="28"/>
          <w:color w:val="2C4A6E"/>
        </w:rPr>
        <w:t>Institutional Review Board Statement</w:t>
      </w:r>
    </w:p>
    <w:p>
      <w:r>
        <w:rPr>
          <w:sz w:val="24"/>
          <w:szCs w:val="24"/>
          <w:rFonts w:ascii="Times New Roman" w:hAnsi="Times New Roman"/>
        </w:rPr>
        <w:t xml:space="preserve">Not applicable (evidence synthesis; no primary human participant data were collected).</w:t>
      </w:r>
    </w:p>
    <w:p>
      <w:pPr>
        <w:pStyle w:val="Heading2"/>
        <w:spacing w:before="240" w:after="120"/>
      </w:pPr>
      <w:r>
        <w:rPr>
          <w:b/>
          <w:sz w:val="28"/>
          <w:color w:val="2C4A6E"/>
        </w:rPr>
        <w:t>Conflicts of Interest</w:t>
      </w:r>
    </w:p>
    <w:p>
      <w:r>
        <w:rPr>
          <w:sz w:val="24"/>
          <w:szCs w:val="24"/>
          <w:rFonts w:ascii="Times New Roman" w:hAnsi="Times New Roman"/>
        </w:rPr>
        <w:t xml:space="preserve">The authors declare no conflicts of interest. The scoring framework was applied independently with no commercial interest in Cumin + Cumin or any formulation manufacturer.</w:t>
      </w:r>
    </w:p>
    <w:p>
      <w:pPr>
        <w:pStyle w:val="Heading2"/>
        <w:spacing w:before="240" w:after="120"/>
      </w:pPr>
      <w:r>
        <w:rPr>
          <w:b/>
          <w:sz w:val="28"/>
          <w:color w:val="2C4A6E"/>
        </w:rPr>
        <w:t>Data Availability Statement</w:t>
      </w:r>
    </w:p>
    <w:p>
      <w:r>
        <w:rPr>
          <w:sz w:val="24"/>
          <w:szCs w:val="24"/>
          <w:rFonts w:ascii="Times New Roman" w:hAnsi="Times New Roman"/>
        </w:rPr>
        <w:t xml:space="preserve">All structured evidence input data, computed metrics, and framework specifications are available in the supplementary materials. Source code and scoring models are available on request from the corresponding author.</w:t>
      </w:r>
    </w:p>
    <w:p>
      <w:pPr>
        <w:pBdr>
          <w:bottom w:val="single" w:sz="6" w:space="1" w:color="CCCCCC"/>
        </w:pBdr>
        <w:spacing w:before="120" w:after="120"/>
      </w:pPr>
    </w:p>
    <w:p>
      <w:pPr>
        <w:pStyle w:val="Heading1"/>
        <w:spacing w:before="240" w:after="120"/>
      </w:pPr>
      <w:r>
        <w:rPr>
          <w:b/>
          <w:sz w:val="32"/>
          <w:color w:val="1A2E44"/>
        </w:rPr>
        <w:t>References</w:t>
      </w:r>
    </w:p>
    <w:p>
      <w:pPr>
        <w:spacing w:after="60"/>
      </w:pPr>
      <w:r>
        <w:rPr>
          <w:b/>
          <w:sz w:val="20"/>
          <w:szCs w:val="20"/>
          <w:rFonts w:ascii="Times New Roman" w:hAnsi="Times New Roman"/>
        </w:rPr>
        <w:t xml:space="preserve">Source studies:</w:t>
      </w:r>
    </w:p>
    <w:p>
      <w:pPr>
        <w:spacing w:after="60"/>
      </w:pPr>
      <w:r>
        <w:rPr>
          <w:sz w:val="24"/>
          <w:szCs w:val="24"/>
          <w:rFonts w:ascii="Times New Roman" w:hAnsi="Times New Roman"/>
        </w:rPr>
        <w:t xml:space="preserve">[1]  Test. Test. Test. 2026;Test(Test):Test. doi:Test</w:t>
      </w:r>
    </w:p>
    <w:sectPr>
      <w:pgSz w:w="12240" w:h="15840"/>
      <w:pgMar w:top="1440" w:right="1440" w:bottom="1440" w:left="144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480" w:lineRule="auto"/>
      </w:pPr>
    </w:pPrDefault>
  </w:docDefaults>
  <w:style w:type="paragraph" w:default="1" w:styleId="Normal">
    <w:name w:val="Normal"/>
  </w:style>
  <w:style w:type="paragraph" w:styleId="Heading1">
    <w:name w:val="heading 1"/>
    <w:pPr>
      <w:spacing w:before="360" w:after="120" w:line="480" w:lineRule="auto"/>
      <w:keepNext/>
    </w:pPr>
    <w:rPr>
      <w:rFonts w:ascii="Times New Roman" w:hAnsi="Times New Roman"/>
      <w:b/>
      <w:sz w:val="28"/>
    </w:rPr>
  </w:style>
  <w:style w:type="paragraph" w:styleId="Heading2">
    <w:name w:val="heading 2"/>
    <w:pPr>
      <w:spacing w:before="240" w:after="100" w:line="480" w:lineRule="auto"/>
      <w:keepNext/>
    </w:pPr>
    <w:rPr>
      <w:rFonts w:ascii="Times New Roman" w:hAnsi="Times New Roman"/>
      <w:b/>
      <w:sz w:val="24"/>
    </w:rPr>
  </w:style>
  <w:style w:type="paragraph" w:styleId="Heading3">
    <w:name w:val="heading 3"/>
    <w:pPr>
      <w:spacing w:before="200" w:after="80" w:line="480" w:lineRule="auto"/>
    </w:pPr>
    <w:rPr>
      <w:rFonts w:ascii="Times New Roman" w:hAnsi="Times New Roman"/>
      <w:b/>
      <w:i/>
      <w:sz w:val="24"/>
    </w:rPr>
  </w:style>
  <w:style w:type="paragraph" w:styleId="ListParagraph">
    <w:name w:val="List Paragraph"/>
    <w:pPr>
      <w:ind w:left="720"/>
    </w:pPr>
  </w:style>
  <w:style w:type="paragraph"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