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</w:t>
      </w:r>
    </w:p>
    <w:p>
      <w:r>
        <w:rPr>
          <w:i/>
        </w:rPr>
        <w:t>Presença dos campos esperados da API DataJud no ficheiro de trabalho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n_presente</w:t>
            </w:r>
          </w:p>
        </w:tc>
        <w:tc>
          <w:tcPr>
            <w:tcW w:type="dxa" w:w="2160"/>
          </w:tcPr>
          <w:p>
            <w:r>
              <w:t>n_ausente</w:t>
            </w:r>
          </w:p>
        </w:tc>
        <w:tc>
          <w:tcPr>
            <w:tcW w:type="dxa" w:w="2160"/>
          </w:tcPr>
          <w:p>
            <w:r>
              <w:t>pct_presente</w:t>
            </w:r>
          </w:p>
        </w:tc>
      </w:tr>
      <w:tr>
        <w:tc>
          <w:tcPr>
            <w:tcW w:type="dxa" w:w="2160"/>
          </w:tcPr>
          <w:p>
            <w:r>
              <w:t>numeroProcesso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classe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assuntos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movimentos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grau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tribunal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orgaoJulgador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formato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dataAjuizamento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dataHoraUltimaAtualizacao</w:t>
            </w:r>
          </w:p>
        </w:tc>
        <w:tc>
          <w:tcPr>
            <w:tcW w:type="dxa" w:w="2160"/>
          </w:tcPr>
          <w:p>
            <w:r>
              <w:t>6300.00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Campos conforme a documentação pública da API DataJud (CNJ). N = 6300 processos extraídos de 6300 linhas JSONL. Formato detectado: processo_por_linha.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