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6</w:t>
      </w:r>
    </w:p>
    <w:p>
      <w:r>
        <w:rPr>
          <w:i/>
        </w:rPr>
        <w:t>Percentagem de processos com campos em falta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n_em_falta</w:t>
            </w:r>
          </w:p>
        </w:tc>
        <w:tc>
          <w:tcPr>
            <w:tcW w:type="dxa" w:w="2880"/>
          </w:tcPr>
          <w:p>
            <w:r>
              <w:t>pct</w:t>
            </w:r>
          </w:p>
        </w:tc>
      </w:tr>
      <w:tr>
        <w:tc>
          <w:tcPr>
            <w:tcW w:type="dxa" w:w="2880"/>
          </w:tcPr>
          <w:p>
            <w:r>
              <w:t>sequência de movimentos vazia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dataAjuizamento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tribunal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grau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órgão julgador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duração observada não calculável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A exclusão listwise do índice aplica-se apenas à sequência de movimentos. Os restantes campos são controlos ou o critério externo (duração).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