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14</w:t>
      </w:r>
    </w:p>
    <w:p>
      <w:r>
        <w:rPr>
          <w:i/>
        </w:rPr>
        <w:t>Comparação do poder explicativo: modelo-base versus modelo com ICP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R²</w:t>
            </w:r>
          </w:p>
        </w:tc>
        <w:tc>
          <w:tcPr>
            <w:tcW w:type="dxa" w:w="1728"/>
          </w:tcPr>
          <w:p>
            <w:r>
              <w:t>R² ajustado</w:t>
            </w:r>
          </w:p>
        </w:tc>
        <w:tc>
          <w:tcPr>
            <w:tcW w:type="dxa" w:w="1728"/>
          </w:tcPr>
          <w:p>
            <w:r>
              <w:t>ΔR²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Base (classe, coorte, n movimentos)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5247.00</w:t>
            </w:r>
          </w:p>
        </w:tc>
      </w:tr>
      <w:tr>
        <w:tc>
          <w:tcPr>
            <w:tcW w:type="dxa" w:w="1728"/>
          </w:tcPr>
          <w:p>
            <w:r>
              <w:t>Base + ICP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5247.00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O modelo-base usa apenas controlos (sem o índice). ΔR² = R²(com ICP) − R²(base).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