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8</w:t>
      </w:r>
    </w:p>
    <w:p>
      <w:r>
        <w:rPr>
          <w:i/>
        </w:rPr>
        <w:t>Proporção de processos encerrados e em curso (inferência por movimento terminal)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pct</w:t>
            </w:r>
          </w:p>
        </w:tc>
      </w:tr>
      <w:tr>
        <w:tc>
          <w:tcPr>
            <w:tcW w:type="dxa" w:w="2880"/>
          </w:tcPr>
          <w:p>
            <w:r>
              <w:t>encerrado</w:t>
            </w:r>
          </w:p>
        </w:tc>
        <w:tc>
          <w:tcPr>
            <w:tcW w:type="dxa" w:w="2880"/>
          </w:tcPr>
          <w:p>
            <w:r>
              <w:t>6300.00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Encerrado = presença de movimento 22 (Baixa Definitiva) ou 246 (Arquivamento Definitivo), ou nome equivalente. Inferência, não campo nativo da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