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Tabela 17</w:t>
      </w:r>
    </w:p>
    <w:p>
      <w:r>
        <w:rPr>
          <w:i/>
        </w:rPr>
        <w:t>Prevalência dos proxies procedimentais na amostra de validação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proxy</w:t>
            </w:r>
          </w:p>
        </w:tc>
        <w:tc>
          <w:tcPr>
            <w:tcW w:type="dxa" w:w="2880"/>
          </w:tcPr>
          <w:p>
            <w:r>
              <w:t>prevalencia</w:t>
            </w:r>
          </w:p>
        </w:tc>
        <w:tc>
          <w:tcPr>
            <w:tcW w:type="dxa" w:w="2880"/>
          </w:tcPr>
          <w:p>
            <w:r>
              <w:t>n_positivo</w:t>
            </w:r>
          </w:p>
        </w:tc>
      </w:tr>
      <w:tr>
        <w:tc>
          <w:tcPr>
            <w:tcW w:type="dxa" w:w="2880"/>
          </w:tcPr>
          <w:p>
            <w:r>
              <w:t>pericia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carta_precatoria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  <w:tc>
          <w:tcPr>
            <w:tcW w:type="dxa" w:w="2880"/>
          </w:tcPr>
          <w:p>
            <w:r>
              <w:t>0.00</w:t>
            </w:r>
          </w:p>
        </w:tc>
      </w:tr>
      <w:tr>
        <w:tc>
          <w:tcPr>
            <w:tcW w:type="dxa" w:w="2880"/>
          </w:tcPr>
          <w:p>
            <w:r>
              <w:t>incidente_processual</w:t>
            </w:r>
          </w:p>
        </w:tc>
        <w:tc>
          <w:tcPr>
            <w:tcW w:type="dxa" w:w="2880"/>
          </w:tcPr>
          <w:p>
            <w:r>
              <w:t>0.01</w:t>
            </w:r>
          </w:p>
        </w:tc>
        <w:tc>
          <w:tcPr>
            <w:tcW w:type="dxa" w:w="2880"/>
          </w:tcPr>
          <w:p>
            <w:r>
              <w:t>74.00</w:t>
            </w:r>
          </w:p>
        </w:tc>
      </w:tr>
      <w:tr>
        <w:tc>
          <w:tcPr>
            <w:tcW w:type="dxa" w:w="2880"/>
          </w:tcPr>
          <w:p>
            <w:r>
              <w:t>redistribuicao</w:t>
            </w:r>
          </w:p>
        </w:tc>
        <w:tc>
          <w:tcPr>
            <w:tcW w:type="dxa" w:w="2880"/>
          </w:tcPr>
          <w:p>
            <w:r>
              <w:t>0.25</w:t>
            </w:r>
          </w:p>
        </w:tc>
        <w:tc>
          <w:tcPr>
            <w:tcW w:type="dxa" w:w="2880"/>
          </w:tcPr>
          <w:p>
            <w:r>
              <w:t>1305.00</w:t>
            </w:r>
          </w:p>
        </w:tc>
      </w:tr>
      <w:tr>
        <w:tc>
          <w:tcPr>
            <w:tcW w:type="dxa" w:w="2880"/>
          </w:tcPr>
          <w:p>
            <w:r>
              <w:t>recurso</w:t>
            </w:r>
          </w:p>
        </w:tc>
        <w:tc>
          <w:tcPr>
            <w:tcW w:type="dxa" w:w="2880"/>
          </w:tcPr>
          <w:p>
            <w:r>
              <w:t>0.06</w:t>
            </w:r>
          </w:p>
        </w:tc>
        <w:tc>
          <w:tcPr>
            <w:tcW w:type="dxa" w:w="2880"/>
          </w:tcPr>
          <w:p>
            <w:r>
              <w:t>298.00</w:t>
            </w:r>
          </w:p>
        </w:tc>
      </w:tr>
      <w:tr>
        <w:tc>
          <w:tcPr>
            <w:tcW w:type="dxa" w:w="2880"/>
          </w:tcPr>
          <w:p>
            <w:r>
              <w:t>suspensao</w:t>
            </w:r>
          </w:p>
        </w:tc>
        <w:tc>
          <w:tcPr>
            <w:tcW w:type="dxa" w:w="2880"/>
          </w:tcPr>
          <w:p>
            <w:r>
              <w:t>0.59</w:t>
            </w:r>
          </w:p>
        </w:tc>
        <w:tc>
          <w:tcPr>
            <w:tcW w:type="dxa" w:w="2880"/>
          </w:tcPr>
          <w:p>
            <w:r>
              <w:t>3112.00</w:t>
            </w:r>
          </w:p>
        </w:tc>
      </w:tr>
    </w:tbl>
    <w:p>
      <w:pPr>
        <w:jc w:val="left"/>
      </w:pPr>
      <w:r>
        <w:rPr>
          <w:i/>
        </w:rPr>
        <w:t xml:space="preserve">Nota. </w:t>
      </w:r>
      <w:r>
        <w:t>Matching por código TPU (config.py) e, complementarmente, por palavra-chave no nome do movimento. Códigos ainda não confirmados com o orientador.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