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16</w:t>
      </w:r>
    </w:p>
    <w:p>
      <w:r>
        <w:rPr>
          <w:i/>
        </w:rPr>
        <w:t>Poder explicativo do ICP: modelo com dummies de coorte versus modelo within-coorte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modelo</w:t>
            </w:r>
          </w:p>
        </w:tc>
        <w:tc>
          <w:tcPr>
            <w:tcW w:type="dxa" w:w="2880"/>
          </w:tcPr>
          <w:p>
            <w:r>
              <w:t>R²</w:t>
            </w:r>
          </w:p>
        </w:tc>
        <w:tc>
          <w:tcPr>
            <w:tcW w:type="dxa" w:w="2880"/>
          </w:tcPr>
          <w:p>
            <w:r>
              <w:t>ΔR² vs. o seu base</w:t>
            </w:r>
          </w:p>
        </w:tc>
      </w:tr>
      <w:tr>
        <w:tc>
          <w:tcPr>
            <w:tcW w:type="dxa" w:w="2880"/>
          </w:tcPr>
          <w:p>
            <w:r>
              <w:t>Duração ~ coorte + classe + n (sem ICP)</w:t>
            </w:r>
          </w:p>
        </w:tc>
        <w:tc>
          <w:tcPr>
            <w:tcW w:type="dxa" w:w="2880"/>
          </w:tcPr>
          <w:p>
            <w:r>
              <w:t>0.9898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Duração ~ coorte + classe + n + ICP</w:t>
            </w:r>
          </w:p>
        </w:tc>
        <w:tc>
          <w:tcPr>
            <w:tcW w:type="dxa" w:w="2880"/>
          </w:tcPr>
          <w:p>
            <w:r>
              <w:t>0.9898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Duração residual ~ classe + n (within, sem ICP)</w:t>
            </w:r>
          </w:p>
        </w:tc>
        <w:tc>
          <w:tcPr>
            <w:tcW w:type="dxa" w:w="2880"/>
          </w:tcPr>
          <w:p>
            <w:r>
              <w:t>0.0363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Duração residual ~ classe + n + ICP residual (within)</w:t>
            </w:r>
          </w:p>
        </w:tc>
        <w:tc>
          <w:tcPr>
            <w:tcW w:type="dxa" w:w="2880"/>
          </w:tcPr>
          <w:p>
            <w:r>
              <w:t>0.0369</w:t>
            </w:r>
          </w:p>
        </w:tc>
        <w:tc>
          <w:tcPr>
            <w:tcW w:type="dxa" w:w="2880"/>
          </w:tcPr>
          <w:p>
            <w:r>
              <w:t>0.0006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As duas primeiras linhas repetem a Tabela anterior (R² inflacionado pela coorte). As duas últimas isolam a variação intra-painel.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