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2</w:t>
      </w:r>
    </w:p>
    <w:p>
      <w:r>
        <w:rPr>
          <w:i/>
        </w:rPr>
        <w:t>Distribuição dos processos por grau de jurisdição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grau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pct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3119.00</w:t>
            </w:r>
          </w:p>
        </w:tc>
        <w:tc>
          <w:tcPr>
            <w:tcW w:type="dxa" w:w="2880"/>
          </w:tcPr>
          <w:p>
            <w:r>
              <w:t>49.51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115.00</w:t>
            </w:r>
          </w:p>
        </w:tc>
        <w:tc>
          <w:tcPr>
            <w:tcW w:type="dxa" w:w="2880"/>
          </w:tcPr>
          <w:p>
            <w:r>
              <w:t>1.83</w:t>
            </w:r>
          </w:p>
        </w:tc>
      </w:tr>
      <w:tr>
        <w:tc>
          <w:tcPr>
            <w:tcW w:type="dxa" w:w="2880"/>
          </w:tcPr>
          <w:p>
            <w:r>
              <w:t>JE</w:t>
            </w:r>
          </w:p>
        </w:tc>
        <w:tc>
          <w:tcPr>
            <w:tcW w:type="dxa" w:w="2880"/>
          </w:tcPr>
          <w:p>
            <w:r>
              <w:t>3002.00</w:t>
            </w:r>
          </w:p>
        </w:tc>
        <w:tc>
          <w:tcPr>
            <w:tcW w:type="dxa" w:w="2880"/>
          </w:tcPr>
          <w:p>
            <w:r>
              <w:t>47.65</w:t>
            </w:r>
          </w:p>
        </w:tc>
      </w:tr>
      <w:tr>
        <w:tc>
          <w:tcPr>
            <w:tcW w:type="dxa" w:w="2880"/>
          </w:tcPr>
          <w:p>
            <w:r>
              <w:t>TR</w:t>
            </w:r>
          </w:p>
        </w:tc>
        <w:tc>
          <w:tcPr>
            <w:tcW w:type="dxa" w:w="2880"/>
          </w:tcPr>
          <w:p>
            <w:r>
              <w:t>64.00</w:t>
            </w:r>
          </w:p>
        </w:tc>
        <w:tc>
          <w:tcPr>
            <w:tcW w:type="dxa" w:w="2880"/>
          </w:tcPr>
          <w:p>
            <w:r>
              <w:t>1.02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G1 = 1.º grau; G2 = 2.º grau; JE = Juizado Especial; TR = Turma Recursal. Extração TRF2, baixa definitiva em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