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olor w:val="2E7D32"/>
          <w:sz w:val="24"/>
          <w:szCs w:val="24"/>
        </w:rPr>
        <w:t xml:space="preserve">PROJECT REPORT</w:t>
      </w:r>
    </w:p>
    <w:p>
      <w:pPr>
        <w:spacing w:after="240"/>
      </w:pPr>
      <w:r>
        <w:rPr>
          <w:b/>
          <w:bCs/>
          <w:sz w:val="44"/>
          <w:szCs w:val="44"/>
        </w:rPr>
        <w:t xml:space="preserve">AI-Powered Maize (Corn) Plant Health Diagnosis &amp; Agriculture Assistant</w:t>
      </w:r>
    </w:p>
    <w:p>
      <w:pPr>
        <w:spacing w:after="480"/>
      </w:pPr>
      <w:r>
        <w:rPr>
          <w:i/>
          <w:iCs/>
          <w:color w:val="555555"/>
          <w:sz w:val="26"/>
          <w:szCs w:val="26"/>
        </w:rPr>
        <w:t xml:space="preserve">A CNN-Based Disease Diagnosis System for Maize with a Knowledge-Grounded Q&amp;A Chatbot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2E7D32" w:val="clear"/>
            <w:tcMar>
              <w:top w:type="dxa" w:w="100"/>
              <w:left w:type="dxa" w:w="120"/>
              <w:bottom w:type="dxa" w:w="100"/>
              <w:right w:type="dxa" w:w="120"/>
            </w:tcMar>
          </w:tcPr>
          <w:p>
            <w:r>
              <w:rPr>
                <w:b/>
                <w:bCs/>
                <w:color w:val="FFFFFF"/>
              </w:rPr>
              <w:t xml:space="preserve">Field</w:t>
            </w:r>
          </w:p>
        </w:tc>
        <w:tc>
          <w:tcPr>
            <w:tcW w:type="dxa" w:w="6600"/>
            <w:shd w:fill="2E7D32" w:val="clear"/>
            <w:tcMar>
              <w:top w:type="dxa" w:w="100"/>
              <w:left w:type="dxa" w:w="120"/>
              <w:bottom w:type="dxa" w:w="100"/>
              <w:right w:type="dxa" w:w="120"/>
            </w:tcMar>
          </w:tcPr>
          <w:p>
            <w:r>
              <w:rPr>
                <w:b/>
                <w:bCs/>
                <w:color w:val="FFFFFF"/>
              </w:rPr>
              <w:t xml:space="preserve">Detail</w:t>
            </w:r>
          </w:p>
        </w:tc>
      </w:tr>
      <w:tr>
        <w:tc>
          <w:tcPr>
            <w:tcW w:type="dxa" w:w="2400"/>
            <w:tcMar>
              <w:top w:type="dxa" w:w="100"/>
              <w:left w:type="dxa" w:w="120"/>
              <w:bottom w:type="dxa" w:w="100"/>
              <w:right w:type="dxa" w:w="120"/>
            </w:tcMar>
          </w:tcPr>
          <w:p>
            <w:r>
              <w:t xml:space="preserve">Prepared for</w:t>
            </w:r>
          </w:p>
        </w:tc>
        <w:tc>
          <w:tcPr>
            <w:tcW w:type="dxa" w:w="6600"/>
            <w:tcMar>
              <w:top w:type="dxa" w:w="100"/>
              <w:left w:type="dxa" w:w="120"/>
              <w:bottom w:type="dxa" w:w="100"/>
              <w:right w:type="dxa" w:w="120"/>
            </w:tcMar>
          </w:tcPr>
          <w:p>
            <w:r>
              <w:t xml:space="preserve">Independent / Course Project</w:t>
            </w:r>
          </w:p>
        </w:tc>
      </w:tr>
      <w:tr>
        <w:tc>
          <w:tcPr>
            <w:tcW w:type="dxa" w:w="2400"/>
            <w:tcMar>
              <w:top w:type="dxa" w:w="100"/>
              <w:left w:type="dxa" w:w="120"/>
              <w:bottom w:type="dxa" w:w="100"/>
              <w:right w:type="dxa" w:w="120"/>
            </w:tcMar>
          </w:tcPr>
          <w:p>
            <w:r>
              <w:t xml:space="preserve">Domain</w:t>
            </w:r>
          </w:p>
        </w:tc>
        <w:tc>
          <w:tcPr>
            <w:tcW w:type="dxa" w:w="6600"/>
            <w:tcMar>
              <w:top w:type="dxa" w:w="100"/>
              <w:left w:type="dxa" w:w="120"/>
              <w:bottom w:type="dxa" w:w="100"/>
              <w:right w:type="dxa" w:w="120"/>
            </w:tcMar>
          </w:tcPr>
          <w:p>
            <w:r>
              <w:t xml:space="preserve">Computer Vision &amp; Applied Machine Learning</w:t>
            </w:r>
          </w:p>
        </w:tc>
      </w:tr>
      <w:tr>
        <w:tc>
          <w:tcPr>
            <w:tcW w:type="dxa" w:w="2400"/>
            <w:tcMar>
              <w:top w:type="dxa" w:w="100"/>
              <w:left w:type="dxa" w:w="120"/>
              <w:bottom w:type="dxa" w:w="100"/>
              <w:right w:type="dxa" w:w="120"/>
            </w:tcMar>
          </w:tcPr>
          <w:p>
            <w:r>
              <w:t xml:space="preserve">Crop focus</w:t>
            </w:r>
          </w:p>
        </w:tc>
        <w:tc>
          <w:tcPr>
            <w:tcW w:type="dxa" w:w="6600"/>
            <w:tcMar>
              <w:top w:type="dxa" w:w="100"/>
              <w:left w:type="dxa" w:w="120"/>
              <w:bottom w:type="dxa" w:w="100"/>
              <w:right w:type="dxa" w:w="120"/>
            </w:tcMar>
          </w:tcPr>
          <w:p>
            <w:r>
              <w:t xml:space="preserve">Maize (Corn) — Zea mays</w:t>
            </w:r>
          </w:p>
        </w:tc>
      </w:tr>
      <w:tr>
        <w:tc>
          <w:tcPr>
            <w:tcW w:type="dxa" w:w="2400"/>
            <w:tcMar>
              <w:top w:type="dxa" w:w="100"/>
              <w:left w:type="dxa" w:w="120"/>
              <w:bottom w:type="dxa" w:w="100"/>
              <w:right w:type="dxa" w:w="120"/>
            </w:tcMar>
          </w:tcPr>
          <w:p>
            <w:r>
              <w:t xml:space="preserve">Document type</w:t>
            </w:r>
          </w:p>
        </w:tc>
        <w:tc>
          <w:tcPr>
            <w:tcW w:type="dxa" w:w="6600"/>
            <w:tcMar>
              <w:top w:type="dxa" w:w="100"/>
              <w:left w:type="dxa" w:w="120"/>
              <w:bottom w:type="dxa" w:w="100"/>
              <w:right w:type="dxa" w:w="120"/>
            </w:tcMar>
          </w:tcPr>
          <w:p>
            <w:r>
              <w:t xml:space="preserve">Project Proposal &amp; Design Report</w:t>
            </w:r>
          </w:p>
        </w:tc>
      </w:tr>
      <w:tr>
        <w:tc>
          <w:tcPr>
            <w:tcW w:type="dxa" w:w="2400"/>
            <w:tcMar>
              <w:top w:type="dxa" w:w="100"/>
              <w:left w:type="dxa" w:w="120"/>
              <w:bottom w:type="dxa" w:w="100"/>
              <w:right w:type="dxa" w:w="120"/>
            </w:tcMar>
          </w:tcPr>
          <w:p>
            <w:r>
              <w:t xml:space="preserve">Status</w:t>
            </w:r>
          </w:p>
        </w:tc>
        <w:tc>
          <w:tcPr>
            <w:tcW w:type="dxa" w:w="6600"/>
            <w:tcMar>
              <w:top w:type="dxa" w:w="100"/>
              <w:left w:type="dxa" w:w="120"/>
              <w:bottom w:type="dxa" w:w="100"/>
              <w:right w:type="dxa" w:w="120"/>
            </w:tcMar>
          </w:tcPr>
          <w:p>
            <w:r>
              <w:t xml:space="preserve">Planning phase — open questions pending</w:t>
            </w:r>
          </w:p>
        </w:tc>
      </w:tr>
    </w:tbl>
    <w:p>
      <w:pPr>
        <w:spacing w:before="400"/>
      </w:pPr>
    </w:p>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shd w:fill="EAF3EA" w:val="clear"/>
            <w:tcMar>
              <w:top w:type="dxa" w:w="160"/>
              <w:left w:type="dxa" w:w="200"/>
              <w:bottom w:type="dxa" w:w="160"/>
              <w:right w:type="dxa" w:w="200"/>
            </w:tcMar>
          </w:tcPr>
          <w:p>
            <w:pPr>
              <w:spacing w:after="80"/>
            </w:pPr>
            <w:r>
              <w:rPr>
                <w:b/>
                <w:bCs/>
                <w:color w:val="2E7D32"/>
              </w:rPr>
              <w:t xml:space="preserve">Core design principle</w:t>
            </w:r>
          </w:p>
          <w:p>
            <w:r>
              <w:t xml:space="preserve">The CNN classifies — a curated knowledge base explains.</w:t>
            </w:r>
          </w:p>
        </w:tc>
      </w:tr>
    </w:tbl>
    <w:p>
      <w:r>
        <w:br w:type="page"/>
      </w:r>
    </w:p>
    <w:p>
      <w:pPr>
        <w:pStyle w:val="Heading1"/>
        <w:spacing w:after="160" w:before="320"/>
      </w:pPr>
      <w:r>
        <w:t xml:space="preserve">Table of Contents</w:t>
      </w:r>
    </w:p>
    <w:p>
      <w:pPr>
        <w:spacing w:after="160"/>
      </w:pPr>
      <w:r>
        <w:t xml:space="preserve">1  Project Overview</w:t>
      </w:r>
    </w:p>
    <w:p>
      <w:pPr>
        <w:spacing w:after="160"/>
      </w:pPr>
      <w:r>
        <w:t xml:space="preserve">2  Scope Adjustments from the Original Idea</w:t>
      </w:r>
    </w:p>
    <w:p>
      <w:pPr>
        <w:spacing w:after="160"/>
      </w:pPr>
      <w:r>
        <w:t xml:space="preserve">3  Dataset Strategy</w:t>
      </w:r>
    </w:p>
    <w:p>
      <w:pPr>
        <w:spacing w:after="160"/>
      </w:pPr>
      <w:r>
        <w:t xml:space="preserve">4  Model Architecture</w:t>
      </w:r>
    </w:p>
    <w:p>
      <w:pPr>
        <w:spacing w:after="160"/>
      </w:pPr>
      <w:r>
        <w:t xml:space="preserve">5  Knowledge Base (Reasoning Layer)</w:t>
      </w:r>
    </w:p>
    <w:p>
      <w:pPr>
        <w:spacing w:after="160"/>
      </w:pPr>
      <w:r>
        <w:t xml:space="preserve">6  Chatbot</w:t>
      </w:r>
    </w:p>
    <w:p>
      <w:pPr>
        <w:spacing w:after="160"/>
      </w:pPr>
      <w:r>
        <w:t xml:space="preserve">7  Suggested Tech Stack</w:t>
      </w:r>
    </w:p>
    <w:p>
      <w:pPr>
        <w:spacing w:after="160"/>
      </w:pPr>
      <w:r>
        <w:t xml:space="preserve">8  Suggested Phases</w:t>
      </w:r>
    </w:p>
    <w:p>
      <w:pPr>
        <w:spacing w:after="160"/>
      </w:pPr>
      <w:r>
        <w:t xml:space="preserve">9  Known Limitations &amp; Future Work</w:t>
      </w:r>
    </w:p>
    <w:p>
      <w:pPr>
        <w:spacing w:after="160"/>
      </w:pPr>
      <w:r>
        <w:t xml:space="preserve">10  Open Questions to Nail Down Before Building</w:t>
      </w:r>
    </w:p>
    <w:p>
      <w:r>
        <w:br w:type="page"/>
      </w:r>
    </w:p>
    <w:p>
      <w:pPr>
        <w:pStyle w:val="Heading1"/>
        <w:spacing w:after="160" w:before="320"/>
      </w:pPr>
      <w:r>
        <w:t xml:space="preserve">1  Project Overview</w:t>
      </w:r>
    </w:p>
    <w:p>
      <w:pPr>
        <w:spacing w:after="160"/>
      </w:pPr>
      <w:r>
        <w:t xml:space="preserve">This project proposes a two-part system for precision agriculture, focused specifically on maize (corn), combining computer vision with a structured knowledge layer:</w:t>
      </w:r>
    </w:p>
    <w:p>
      <w:pPr>
        <w:pStyle w:val="Heading2"/>
        <w:spacing w:after="120" w:before="240"/>
      </w:pPr>
      <w:r>
        <w:t xml:space="preserve">1.1  Plant Disease Diagnosis Engine</w:t>
      </w:r>
    </w:p>
    <w:p>
      <w:pPr>
        <w:spacing w:after="160"/>
      </w:pPr>
      <w:r>
        <w:t xml:space="preserve">A CNN-based image classifier takes a photo of a maize plant or leaf and determines whether it is healthy or diseased. If diseased, the system identifies which of the known maize leaf diseases is present, explains the likely cause, and gives a follow-up recommendation. When the model's confidence is too low to be trustworthy, the case is flagged for human expert review instead of forcing a guess.</w:t>
      </w:r>
    </w:p>
    <w:p>
      <w:pPr>
        <w:pStyle w:val="Heading2"/>
        <w:spacing w:after="120" w:before="240"/>
      </w:pPr>
      <w:r>
        <w:t xml:space="preserve">1.2  Agriculture Q&amp;A Chatbot</w:t>
      </w:r>
    </w:p>
    <w:p>
      <w:pPr>
        <w:spacing w:after="160"/>
      </w:pPr>
      <w:r>
        <w:t xml:space="preserve">A chat interface answers questions about maize health and the diseases covered by the diagnosis engine by retrieving information from the same structured knowledge base that powers the diagnosis explanations, rather than answering from open-domain general knowledge.</w:t>
      </w:r>
    </w:p>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shd w:fill="EAF3EA" w:val="clear"/>
            <w:tcMar>
              <w:top w:type="dxa" w:w="160"/>
              <w:left w:type="dxa" w:w="200"/>
              <w:bottom w:type="dxa" w:w="160"/>
              <w:right w:type="dxa" w:w="200"/>
            </w:tcMar>
          </w:tcPr>
          <w:p>
            <w:pPr>
              <w:spacing w:after="80"/>
            </w:pPr>
            <w:r>
              <w:rPr>
                <w:b/>
                <w:bCs/>
                <w:color w:val="2E7D32"/>
              </w:rPr>
              <w:t xml:space="preserve">Core Design Principle</w:t>
            </w:r>
          </w:p>
          <w:p>
            <w:r>
              <w:t xml:space="preserve">The CNN classifies, and a curated knowledge base explains. The model outputs a class label and a confidence score; a structured database (symptoms, causes, treatment/follow-up per class) generates the human-readable reasoning — and the chatbot queries that same database.</w:t>
            </w:r>
          </w:p>
        </w:tc>
      </w:tr>
    </w:tbl>
    <w:p>
      <w:pPr>
        <w:pStyle w:val="Heading1"/>
        <w:spacing w:after="160" w:before="320"/>
      </w:pPr>
      <w:r>
        <w:t xml:space="preserve">2  Scope Adjustments from the Original Idea</w:t>
      </w:r>
    </w:p>
    <w:p>
      <w:pPr>
        <w:spacing w:after="160"/>
      </w:pPr>
      <w:r>
        <w:t xml:space="preserve">The table below documents where the original concept was refined, and why — useful context for anyone reviewing the design decisions behind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2E7D32" w:val="clear"/>
            <w:tcMar>
              <w:top w:type="dxa" w:w="100"/>
              <w:left w:type="dxa" w:w="120"/>
              <w:bottom w:type="dxa" w:w="100"/>
              <w:right w:type="dxa" w:w="120"/>
            </w:tcMar>
          </w:tcPr>
          <w:p>
            <w:r>
              <w:rPr>
                <w:b/>
                <w:bCs/>
                <w:color w:val="FFFFFF"/>
              </w:rPr>
              <w:t xml:space="preserve">Original Idea</w:t>
            </w:r>
          </w:p>
        </w:tc>
        <w:tc>
          <w:tcPr>
            <w:tcW w:type="dxa" w:w="3400"/>
            <w:shd w:fill="2E7D32" w:val="clear"/>
            <w:tcMar>
              <w:top w:type="dxa" w:w="100"/>
              <w:left w:type="dxa" w:w="120"/>
              <w:bottom w:type="dxa" w:w="100"/>
              <w:right w:type="dxa" w:w="120"/>
            </w:tcMar>
          </w:tcPr>
          <w:p>
            <w:r>
              <w:rPr>
                <w:b/>
                <w:bCs/>
                <w:color w:val="FFFFFF"/>
              </w:rPr>
              <w:t xml:space="preserve">Adjustment</w:t>
            </w:r>
          </w:p>
        </w:tc>
        <w:tc>
          <w:tcPr>
            <w:tcW w:type="dxa" w:w="3000"/>
            <w:shd w:fill="2E7D32" w:val="clear"/>
            <w:tcMar>
              <w:top w:type="dxa" w:w="100"/>
              <w:left w:type="dxa" w:w="120"/>
              <w:bottom w:type="dxa" w:w="100"/>
              <w:right w:type="dxa" w:w="120"/>
            </w:tcMar>
          </w:tcPr>
          <w:p>
            <w:r>
              <w:rPr>
                <w:b/>
                <w:bCs/>
                <w:color w:val="FFFFFF"/>
              </w:rPr>
              <w:t xml:space="preserve">Why</w:t>
            </w:r>
          </w:p>
        </w:tc>
      </w:tr>
      <w:tr>
        <w:tc>
          <w:tcPr>
            <w:tcW w:type="dxa" w:w="2600"/>
            <w:tcMar>
              <w:top w:type="dxa" w:w="100"/>
              <w:left w:type="dxa" w:w="120"/>
              <w:bottom w:type="dxa" w:w="100"/>
              <w:right w:type="dxa" w:w="120"/>
            </w:tcMar>
          </w:tcPr>
          <w:p>
            <w:r>
              <w:t xml:space="preserve">Multi-crop system covering many species</w:t>
            </w:r>
          </w:p>
        </w:tc>
        <w:tc>
          <w:tcPr>
            <w:tcW w:type="dxa" w:w="3400"/>
            <w:tcMar>
              <w:top w:type="dxa" w:w="100"/>
              <w:left w:type="dxa" w:w="120"/>
              <w:bottom w:type="dxa" w:w="100"/>
              <w:right w:type="dxa" w:w="120"/>
            </w:tcMar>
          </w:tcPr>
          <w:p>
            <w:r>
              <w:t xml:space="preserve">Narrowed to a single crop — maize (corn) — using one purpose-built dataset</w:t>
            </w:r>
          </w:p>
        </w:tc>
        <w:tc>
          <w:tcPr>
            <w:tcW w:type="dxa" w:w="3000"/>
            <w:tcMar>
              <w:top w:type="dxa" w:w="100"/>
              <w:left w:type="dxa" w:w="120"/>
              <w:bottom w:type="dxa" w:w="100"/>
              <w:right w:type="dxa" w:w="120"/>
            </w:tcMar>
          </w:tcPr>
          <w:p>
            <w:r>
              <w:t xml:space="preserve">Keeps the model's class set well-defined and consistent, and avoids the label-alignment overhead of merging datasets that use different crops and naming conventions</w:t>
            </w:r>
          </w:p>
        </w:tc>
      </w:tr>
      <w:tr>
        <w:tc>
          <w:tcPr>
            <w:tcW w:type="dxa" w:w="2600"/>
            <w:tcMar>
              <w:top w:type="dxa" w:w="100"/>
              <w:left w:type="dxa" w:w="120"/>
              <w:bottom w:type="dxa" w:w="100"/>
              <w:right w:type="dxa" w:w="120"/>
            </w:tcMar>
          </w:tcPr>
          <w:p>
            <w:r>
              <w:t xml:space="preserve">CNN gives reason + follow-up directly</w:t>
            </w:r>
          </w:p>
        </w:tc>
        <w:tc>
          <w:tcPr>
            <w:tcW w:type="dxa" w:w="3400"/>
            <w:tcMar>
              <w:top w:type="dxa" w:w="100"/>
              <w:left w:type="dxa" w:w="120"/>
              <w:bottom w:type="dxa" w:w="100"/>
              <w:right w:type="dxa" w:w="120"/>
            </w:tcMar>
          </w:tcPr>
          <w:p>
            <w:r>
              <w:t xml:space="preserve">CNN gives class + confidence; a knowledge base (keyed by class) supplies reason + follow-up</w:t>
            </w:r>
          </w:p>
        </w:tc>
        <w:tc>
          <w:tcPr>
            <w:tcW w:type="dxa" w:w="3000"/>
            <w:tcMar>
              <w:top w:type="dxa" w:w="100"/>
              <w:left w:type="dxa" w:w="120"/>
              <w:bottom w:type="dxa" w:w="100"/>
              <w:right w:type="dxa" w:w="120"/>
            </w:tcMar>
          </w:tcPr>
          <w:p>
            <w:r>
              <w:t xml:space="preserve">CNNs classify images — they don't natively generate free-text explanations. This splits cleanly into an ML problem and a data/API problem.</w:t>
            </w:r>
          </w:p>
        </w:tc>
      </w:tr>
      <w:tr>
        <w:tc>
          <w:tcPr>
            <w:tcW w:type="dxa" w:w="2600"/>
            <w:tcMar>
              <w:top w:type="dxa" w:w="100"/>
              <w:left w:type="dxa" w:w="120"/>
              <w:bottom w:type="dxa" w:w="100"/>
              <w:right w:type="dxa" w:w="120"/>
            </w:tcMar>
          </w:tcPr>
          <w:p>
            <w:r>
              <w:t xml:space="preserve">Chatbot queries “the project's database” (implicitly open-ended)</w:t>
            </w:r>
          </w:p>
        </w:tc>
        <w:tc>
          <w:tcPr>
            <w:tcW w:type="dxa" w:w="3400"/>
            <w:tcMar>
              <w:top w:type="dxa" w:w="100"/>
              <w:left w:type="dxa" w:w="120"/>
              <w:bottom w:type="dxa" w:w="100"/>
              <w:right w:type="dxa" w:w="120"/>
            </w:tcMar>
          </w:tcPr>
          <w:p>
            <w:r>
              <w:t xml:space="preserve">Chatbot retrieves from the same maize disease knowledge base used for diagnosis explanations (RAG-style), scoped strictly to the maize diseases the CNN was trained on</w:t>
            </w:r>
          </w:p>
        </w:tc>
        <w:tc>
          <w:tcPr>
            <w:tcW w:type="dxa" w:w="3000"/>
            <w:tcMar>
              <w:top w:type="dxa" w:w="100"/>
              <w:left w:type="dxa" w:w="120"/>
              <w:bottom w:type="dxa" w:w="100"/>
              <w:right w:type="dxa" w:w="120"/>
            </w:tcMar>
          </w:tcPr>
          <w:p>
            <w:r>
              <w:t xml:space="preserve">Keeps the chatbot's scope achievable and its answers consistent with the diagnosis engine, instead of building a general agriculture expert system.</w:t>
            </w:r>
          </w:p>
        </w:tc>
      </w:tr>
      <w:tr>
        <w:tc>
          <w:tcPr>
            <w:tcW w:type="dxa" w:w="2600"/>
            <w:tcMar>
              <w:top w:type="dxa" w:w="100"/>
              <w:left w:type="dxa" w:w="120"/>
              <w:bottom w:type="dxa" w:w="100"/>
              <w:right w:type="dxa" w:w="120"/>
            </w:tcMar>
          </w:tcPr>
          <w:p>
            <w:r>
              <w:t xml:space="preserve">Low-confidence → human referral (single flag, no detail)</w:t>
            </w:r>
          </w:p>
        </w:tc>
        <w:tc>
          <w:tcPr>
            <w:tcW w:type="dxa" w:w="3400"/>
            <w:tcMar>
              <w:top w:type="dxa" w:w="100"/>
              <w:left w:type="dxa" w:w="120"/>
              <w:bottom w:type="dxa" w:w="100"/>
              <w:right w:type="dxa" w:w="120"/>
            </w:tcMar>
          </w:tcPr>
          <w:p>
            <w:r>
              <w:t xml:space="preserve">Return the top 2–3 candidate classes with confidence scores and a clear disclaimer, instead of just “uncertain”</w:t>
            </w:r>
          </w:p>
        </w:tc>
        <w:tc>
          <w:tcPr>
            <w:tcW w:type="dxa" w:w="3000"/>
            <w:tcMar>
              <w:top w:type="dxa" w:w="100"/>
              <w:left w:type="dxa" w:w="120"/>
              <w:bottom w:type="dxa" w:w="100"/>
              <w:right w:type="dxa" w:w="120"/>
            </w:tcMar>
          </w:tcPr>
          <w:p>
            <w:r>
              <w:t xml:space="preserve">Gives the human expert a starting hypothesis instead of a blank slate — same handoff, more useful output.</w:t>
            </w:r>
          </w:p>
        </w:tc>
      </w:tr>
    </w:tbl>
    <w:p>
      <w:pPr>
        <w:spacing w:before="300"/>
      </w:pPr>
    </w:p>
    <w:p>
      <w:pPr>
        <w:pStyle w:val="Heading2"/>
        <w:spacing w:after="120" w:before="240"/>
      </w:pPr>
      <w:r>
        <w:t xml:space="preserve">Problem Statement</w:t>
      </w:r>
    </w:p>
    <w:p>
      <w:pPr>
        <w:spacing w:after="160"/>
      </w:pPr>
      <w:r>
        <w:t xml:space="preserve">Maize farmers and agricultural users need a reliable and accessible way to identify maize leaf diseases from plant or leaf images and understand the likely cause and appropriate follow-up action. However, manually identifying diseases can be difficult and may require agricultural expertise, while image-based AI systems can produce uncertain or unreliable predictions, particularly with real-world field images.</w:t>
      </w:r>
    </w:p>
    <w:p>
      <w:pPr>
        <w:spacing w:after="160"/>
      </w:pPr>
      <w:r>
        <w:t xml:space="preserve">Therefore, there is a need for an AI-powered maize health system that can classify maize leaf diseases from images, provide understandable disease information and recommendations, and recognize uncertain predictions by referring them for human expert review.</w:t>
      </w:r>
    </w:p>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shd w:fill="EAF3EA" w:val="clear"/>
            <w:tcMar>
              <w:top w:type="dxa" w:w="160"/>
              <w:left w:type="dxa" w:w="200"/>
              <w:bottom w:type="dxa" w:w="160"/>
              <w:right w:type="dxa" w:w="200"/>
            </w:tcMar>
          </w:tcPr>
          <w:p>
            <w:pPr>
              <w:spacing w:after="80"/>
            </w:pPr>
            <w:r>
              <w:rPr>
                <w:b/>
                <w:bCs/>
                <w:color w:val="2E7D32"/>
              </w:rPr>
              <w:t xml:space="preserve">Two Central Project Questions</w:t>
            </w:r>
          </w:p>
          <w:p>
            <w:r>
              <w:t xml:space="preserve">1. Can we reliably diagnose maize leaf diseases from images?  2. Can we provide useful and trustworthy information based on that diagnosis?</w:t>
            </w:r>
          </w:p>
        </w:tc>
      </w:tr>
    </w:tbl>
    <w:p>
      <w:pPr>
        <w:pStyle w:val="Heading1"/>
        <w:spacing w:after="160" w:before="320"/>
      </w:pPr>
      <w:r>
        <w:t xml:space="preserve">3  Dataset Strategy</w:t>
      </w:r>
    </w:p>
    <w:p>
      <w:pPr>
        <w:spacing w:after="160"/>
      </w:pPr>
      <w:r>
        <w:t xml:space="preserve">The project uses a single, maize-specific image dataset rather than merging multiple general-purpose plant datasets. This keeps the class set well-defined and removes the cross-dataset label-alignment work that a multi-crop approach would require.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c>
          <w:tcPr>
            <w:tcW w:type="dxa" w:w="2600"/>
            <w:shd w:fill="2E7D32" w:val="clear"/>
            <w:tcMar>
              <w:top w:type="dxa" w:w="100"/>
              <w:left w:type="dxa" w:w="120"/>
              <w:bottom w:type="dxa" w:w="100"/>
              <w:right w:type="dxa" w:w="120"/>
            </w:tcMar>
          </w:tcPr>
          <w:p>
            <w:r>
              <w:rPr>
                <w:b/>
                <w:bCs/>
                <w:color w:val="FFFFFF"/>
              </w:rPr>
              <w:t xml:space="preserve">Dataset</w:t>
            </w:r>
          </w:p>
        </w:tc>
        <w:tc>
          <w:tcPr>
            <w:tcW w:type="dxa" w:w="4400"/>
            <w:shd w:fill="2E7D32" w:val="clear"/>
            <w:tcMar>
              <w:top w:type="dxa" w:w="100"/>
              <w:left w:type="dxa" w:w="120"/>
              <w:bottom w:type="dxa" w:w="100"/>
              <w:right w:type="dxa" w:w="120"/>
            </w:tcMar>
          </w:tcPr>
          <w:p>
            <w:r>
              <w:rPr>
                <w:b/>
                <w:bCs/>
                <w:color w:val="FFFFFF"/>
              </w:rPr>
              <w:t xml:space="preserve">Description</w:t>
            </w:r>
          </w:p>
        </w:tc>
        <w:tc>
          <w:tcPr>
            <w:tcW w:type="dxa" w:w="2000"/>
            <w:shd w:fill="2E7D32" w:val="clear"/>
            <w:tcMar>
              <w:top w:type="dxa" w:w="100"/>
              <w:left w:type="dxa" w:w="120"/>
              <w:bottom w:type="dxa" w:w="100"/>
              <w:right w:type="dxa" w:w="120"/>
            </w:tcMar>
          </w:tcPr>
          <w:p>
            <w:r>
              <w:rPr>
                <w:b/>
                <w:bCs/>
                <w:color w:val="FFFFFF"/>
              </w:rPr>
              <w:t xml:space="preserve">Role</w:t>
            </w:r>
          </w:p>
        </w:tc>
      </w:tr>
      <w:tr>
        <w:tc>
          <w:tcPr>
            <w:tcW w:type="dxa" w:w="2600"/>
            <w:tcMar>
              <w:top w:type="dxa" w:w="100"/>
              <w:left w:type="dxa" w:w="120"/>
              <w:bottom w:type="dxa" w:w="100"/>
              <w:right w:type="dxa" w:w="120"/>
            </w:tcMar>
          </w:tcPr>
          <w:p>
            <w:r>
              <w:t xml:space="preserve">Corn (Maize) Leaf Disease Dataset
(smaranjitghose)</w:t>
            </w:r>
          </w:p>
        </w:tc>
        <w:tc>
          <w:tcPr>
            <w:tcW w:type="dxa" w:w="4400"/>
            <w:tcMar>
              <w:top w:type="dxa" w:w="100"/>
              <w:left w:type="dxa" w:w="120"/>
              <w:bottom w:type="dxa" w:w="100"/>
              <w:right w:type="dxa" w:w="120"/>
            </w:tcMar>
          </w:tcPr>
          <w:p>
            <w:r>
              <w:t xml:space="preserve">Maize-only leaf image dataset (compiled from the PlantVillage collection) covering four classes: Blight, Common Rust, Gray Leaf Spot, and Healthy — roughly 4,000+ images in total.</w:t>
            </w:r>
          </w:p>
        </w:tc>
        <w:tc>
          <w:tcPr>
            <w:tcW w:type="dxa" w:w="2000"/>
            <w:tcMar>
              <w:top w:type="dxa" w:w="100"/>
              <w:left w:type="dxa" w:w="120"/>
              <w:bottom w:type="dxa" w:w="100"/>
              <w:right w:type="dxa" w:w="120"/>
            </w:tcMar>
          </w:tcPr>
          <w:p>
            <w:r>
              <w:t xml:space="preserve">Sole training/validation/test source for the diagnosis engine and the class set the knowledge base and chatbot are scoped to.</w:t>
            </w:r>
          </w:p>
        </w:tc>
      </w:tr>
    </w:tbl>
    <w:p>
      <w:pPr>
        <w:spacing w:before="200"/>
      </w:pPr>
    </w:p>
    <w:p>
      <w:pPr>
        <w:pStyle w:val="Heading2"/>
        <w:spacing w:after="120" w:before="240"/>
      </w:pPr>
      <w:r>
        <w:t xml:space="preserve">Dataset Source</w:t>
      </w:r>
    </w:p>
    <w:p>
      <w:pPr>
        <w:spacing w:after="160"/>
      </w:pPr>
      <w:r>
        <w:t xml:space="preserve">Corn / Maize Leaf Disease Dataset (GitHub): </w:t>
      </w:r>
      <w:hyperlink w:history="1" r:id="rIdcnwdsooa-c-sr8ooz8uk5">
        <w:r>
          <w:rPr>
            <w:rStyle w:val="Hyperlink"/>
          </w:rPr>
          <w:t xml:space="preserve">github.com/smaranjitghose/corn_pathology_ai</w:t>
        </w:r>
      </w:hyperlink>
    </w:p>
    <w:p>
      <w:pPr>
        <w:pStyle w:val="Heading2"/>
        <w:spacing w:after="120" w:before="240"/>
      </w:pPr>
      <w:r>
        <w:t xml:space="preserve">Why a Single Maize-Specific Dataset</w:t>
      </w:r>
    </w:p>
    <w:p>
      <w:pPr>
        <w:pStyle w:val="ListParagraph"/>
        <w:numPr>
          <w:ilvl w:val="0"/>
          <w:numId w:val="1"/>
        </w:numPr>
        <w:spacing w:after="80"/>
      </w:pPr>
      <w:r>
        <w:t xml:space="preserve">No cross-dataset label alignment needed — the previous multi-dataset approach required confirming that class names matched across sources; a single dataset removes that data-prep step entirely.</w:t>
      </w:r>
    </w:p>
    <w:p>
      <w:pPr>
        <w:pStyle w:val="ListParagraph"/>
        <w:numPr>
          <w:ilvl w:val="0"/>
          <w:numId w:val="1"/>
        </w:numPr>
        <w:spacing w:after="80"/>
      </w:pPr>
      <w:r>
        <w:t xml:space="preserve">Class set matches the project's actual scope: Blight, Common Rust, Gray Leaf Spot, and Healthy — the four maize conditions the diagnosis engine and knowledge base are built around.</w:t>
      </w:r>
    </w:p>
    <w:p>
      <w:pPr>
        <w:pStyle w:val="ListParagraph"/>
        <w:numPr>
          <w:ilvl w:val="0"/>
          <w:numId w:val="1"/>
        </w:numPr>
        <w:spacing w:after="80"/>
      </w:pPr>
      <w:r>
        <w:t xml:space="preserve">Trade-off to flag: unlike the previous two-dataset design (which paired lab-condition images with field-condition images for robustness), this dataset is predominantly lab/clean-background imagery. Real-world field robustness should be treated as a known limitation (see Section 9) rather than assumed.</w:t>
      </w:r>
    </w:p>
    <w:p>
      <w:pPr>
        <w:pStyle w:val="Heading2"/>
        <w:spacing w:after="120" w:before="240"/>
      </w:pPr>
      <w:r>
        <w:t xml:space="preserve">Data Split</w:t>
      </w:r>
    </w:p>
    <w:p>
      <w:pPr>
        <w:spacing w:after="160"/>
      </w:pPr>
      <w:r>
        <w:t xml:space="preserve">Standard train/validation/test split (e.g., 70/15/15), stratified by class to avoid imbalance issues during evaluation — the dataset's four classes are not perfectly balanced, so stratification and class-weighting during training are worth planning for up front.</w:t>
      </w:r>
    </w:p>
    <w:p>
      <w:pPr>
        <w:pStyle w:val="Heading1"/>
        <w:spacing w:after="160" w:before="320"/>
      </w:pPr>
      <w:r>
        <w:t xml:space="preserve">4  Model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2E7D32" w:val="clear"/>
            <w:tcMar>
              <w:top w:type="dxa" w:w="100"/>
              <w:left w:type="dxa" w:w="120"/>
              <w:bottom w:type="dxa" w:w="100"/>
              <w:right w:type="dxa" w:w="120"/>
            </w:tcMar>
          </w:tcPr>
          <w:p>
            <w:r>
              <w:rPr>
                <w:b/>
                <w:bCs/>
                <w:color w:val="FFFFFF"/>
              </w:rPr>
              <w:t xml:space="preserve">Aspect</w:t>
            </w:r>
          </w:p>
        </w:tc>
        <w:tc>
          <w:tcPr>
            <w:tcW w:type="dxa" w:w="6600"/>
            <w:shd w:fill="2E7D32" w:val="clear"/>
            <w:tcMar>
              <w:top w:type="dxa" w:w="100"/>
              <w:left w:type="dxa" w:w="120"/>
              <w:bottom w:type="dxa" w:w="100"/>
              <w:right w:type="dxa" w:w="120"/>
            </w:tcMar>
          </w:tcPr>
          <w:p>
            <w:r>
              <w:rPr>
                <w:b/>
                <w:bCs/>
                <w:color w:val="FFFFFF"/>
              </w:rPr>
              <w:t xml:space="preserve">Detail</w:t>
            </w:r>
          </w:p>
        </w:tc>
      </w:tr>
      <w:tr>
        <w:tc>
          <w:tcPr>
            <w:tcW w:type="dxa" w:w="2400"/>
            <w:tcMar>
              <w:top w:type="dxa" w:w="100"/>
              <w:left w:type="dxa" w:w="120"/>
              <w:bottom w:type="dxa" w:w="100"/>
              <w:right w:type="dxa" w:w="120"/>
            </w:tcMar>
          </w:tcPr>
          <w:p>
            <w:r>
              <w:t xml:space="preserve">Approach</w:t>
            </w:r>
          </w:p>
        </w:tc>
        <w:tc>
          <w:tcPr>
            <w:tcW w:type="dxa" w:w="6600"/>
            <w:tcMar>
              <w:top w:type="dxa" w:w="100"/>
              <w:left w:type="dxa" w:w="120"/>
              <w:bottom w:type="dxa" w:w="100"/>
              <w:right w:type="dxa" w:w="120"/>
            </w:tcMar>
          </w:tcPr>
          <w:p>
            <w:r>
              <w:t xml:space="preserve">Transfer learning over training from scratch — recommended given typical project timelines and compute budgets.</w:t>
            </w:r>
          </w:p>
        </w:tc>
      </w:tr>
      <w:tr>
        <w:tc>
          <w:tcPr>
            <w:tcW w:type="dxa" w:w="2400"/>
            <w:tcMar>
              <w:top w:type="dxa" w:w="100"/>
              <w:left w:type="dxa" w:w="120"/>
              <w:bottom w:type="dxa" w:w="100"/>
              <w:right w:type="dxa" w:w="120"/>
            </w:tcMar>
          </w:tcPr>
          <w:p>
            <w:r>
              <w:t xml:space="preserve">Candidate backbones</w:t>
            </w:r>
          </w:p>
        </w:tc>
        <w:tc>
          <w:tcPr>
            <w:tcW w:type="dxa" w:w="6600"/>
            <w:tcMar>
              <w:top w:type="dxa" w:w="100"/>
              <w:left w:type="dxa" w:w="120"/>
              <w:bottom w:type="dxa" w:w="100"/>
              <w:right w:type="dxa" w:w="120"/>
            </w:tcMar>
          </w:tcPr>
          <w:p>
            <w:r>
              <w:t xml:space="preserve">MobileNetV2 or EfficientNet-B0 (lightweight, strong accuracy-to-compute ratio) with a custom classification head fine-tuned on the maize dataset, outputting the four classes: Blight, Common Rust, Gray Leaf Spot, Healthy.</w:t>
            </w:r>
          </w:p>
        </w:tc>
      </w:tr>
      <w:tr>
        <w:tc>
          <w:tcPr>
            <w:tcW w:type="dxa" w:w="2400"/>
            <w:tcMar>
              <w:top w:type="dxa" w:w="100"/>
              <w:left w:type="dxa" w:w="120"/>
              <w:bottom w:type="dxa" w:w="100"/>
              <w:right w:type="dxa" w:w="120"/>
            </w:tcMar>
          </w:tcPr>
          <w:p>
            <w:r>
              <w:t xml:space="preserve">Framework</w:t>
            </w:r>
          </w:p>
        </w:tc>
        <w:tc>
          <w:tcPr>
            <w:tcW w:type="dxa" w:w="6600"/>
            <w:tcMar>
              <w:top w:type="dxa" w:w="100"/>
              <w:left w:type="dxa" w:w="120"/>
              <w:bottom w:type="dxa" w:w="100"/>
              <w:right w:type="dxa" w:w="120"/>
            </w:tcMar>
          </w:tcPr>
          <w:p>
            <w:r>
              <w:t xml:space="preserve">TensorFlow/Keras or PyTorch — either works; pick based on existing familiarity.</w:t>
            </w:r>
          </w:p>
        </w:tc>
      </w:tr>
      <w:tr>
        <w:tc>
          <w:tcPr>
            <w:tcW w:type="dxa" w:w="2400"/>
            <w:tcMar>
              <w:top w:type="dxa" w:w="100"/>
              <w:left w:type="dxa" w:w="120"/>
              <w:bottom w:type="dxa" w:w="100"/>
              <w:right w:type="dxa" w:w="120"/>
            </w:tcMar>
          </w:tcPr>
          <w:p>
            <w:r>
              <w:t xml:space="preserve">Evaluation metrics</w:t>
            </w:r>
          </w:p>
        </w:tc>
        <w:tc>
          <w:tcPr>
            <w:tcW w:type="dxa" w:w="6600"/>
            <w:tcMar>
              <w:top w:type="dxa" w:w="100"/>
              <w:left w:type="dxa" w:w="120"/>
              <w:bottom w:type="dxa" w:w="100"/>
              <w:right w:type="dxa" w:w="120"/>
            </w:tcMar>
          </w:tcPr>
          <w:p>
            <w:r>
              <w:t xml:space="preserve">Overall accuracy, plus per-class precision/recall/F1 and a confusion matrix — important because the classes are not evenly represented, so accuracy alone can be misleading.</w:t>
            </w:r>
          </w:p>
        </w:tc>
      </w:tr>
    </w:tbl>
    <w:p>
      <w:pPr>
        <w:spacing w:before="300"/>
      </w:pPr>
    </w:p>
    <w:p>
      <w:pPr>
        <w:pStyle w:val="Heading2"/>
        <w:spacing w:after="120" w:before="240"/>
      </w:pPr>
      <w:r>
        <w:t xml:space="preserve">Confidence-Based Human Handoff (Upgraded Design)</w:t>
      </w:r>
    </w:p>
    <w:p>
      <w:pPr>
        <w:spacing w:after="160"/>
      </w:pPr>
      <w:r>
        <w:t xml:space="preserve">Rather than a binary confident/not-confident split:</w:t>
      </w:r>
    </w:p>
    <w:p>
      <w:pPr>
        <w:pStyle w:val="ListParagraph"/>
        <w:numPr>
          <w:ilvl w:val="0"/>
          <w:numId w:val="1"/>
        </w:numPr>
        <w:spacing w:after="80"/>
      </w:pPr>
      <w:r>
        <w:t xml:space="preserve">Use the softmax probability of the top predicted class, with a threshold tuned empirically on the validation set (e.g., ~70–75% as a starting point).</w:t>
      </w:r>
    </w:p>
    <w:p>
      <w:pPr>
        <w:pStyle w:val="ListParagraph"/>
        <w:numPr>
          <w:ilvl w:val="0"/>
          <w:numId w:val="1"/>
        </w:numPr>
        <w:spacing w:after="80"/>
      </w:pPr>
      <w:r>
        <w:t xml:space="preserve">Below threshold: return the top 2–3 candidate classes with their confidence scores, plus a clear disclaimer (e.g., “closest matches from known maize diseases — not a confirmed diagnosis, human review recommended”). This gives the reviewing expert a starting hypothesis rather than nothing.</w:t>
      </w:r>
    </w:p>
    <w:p>
      <w:pPr>
        <w:pStyle w:val="ListParagraph"/>
        <w:numPr>
          <w:ilvl w:val="0"/>
          <w:numId w:val="1"/>
        </w:numPr>
        <w:spacing w:after="80"/>
      </w:pPr>
      <w:r>
        <w:t xml:space="preserve">Also consider the gap between the top-1 and top-2 predictions as a secondary confidence signal — a narrow gap suggests genuine ambiguity even when the top score looks moderate.</w:t>
      </w:r>
    </w:p>
    <w:p>
      <w:pPr>
        <w:pStyle w:val="Heading1"/>
        <w:spacing w:after="160" w:before="320"/>
      </w:pPr>
      <w:r>
        <w:t xml:space="preserve">5  Knowledge Base (Reasoning Layer)</w:t>
      </w:r>
    </w:p>
    <w:p>
      <w:pPr>
        <w:spacing w:after="160"/>
      </w:pPr>
      <w:r>
        <w:t xml:space="preserve">A structured database, with one entry per class the CNN was trained on — the four maize classes, nothing broader. Example entries: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2E7D32" w:val="clear"/>
            <w:tcMar>
              <w:top w:type="dxa" w:w="100"/>
              <w:left w:type="dxa" w:w="120"/>
              <w:bottom w:type="dxa" w:w="100"/>
              <w:right w:type="dxa" w:w="120"/>
            </w:tcMar>
          </w:tcPr>
          <w:p>
            <w:r>
              <w:rPr>
                <w:b/>
                <w:bCs/>
                <w:color w:val="FFFFFF"/>
              </w:rPr>
              <w:t xml:space="preserve">Field</w:t>
            </w:r>
          </w:p>
        </w:tc>
        <w:tc>
          <w:tcPr>
            <w:tcW w:type="dxa" w:w="3600"/>
            <w:shd w:fill="2E7D32" w:val="clear"/>
            <w:tcMar>
              <w:top w:type="dxa" w:w="100"/>
              <w:left w:type="dxa" w:w="120"/>
              <w:bottom w:type="dxa" w:w="100"/>
              <w:right w:type="dxa" w:w="120"/>
            </w:tcMar>
          </w:tcPr>
          <w:p>
            <w:r>
              <w:rPr>
                <w:b/>
                <w:bCs/>
                <w:color w:val="FFFFFF"/>
              </w:rPr>
              <w:t xml:space="preserve">Example — Blight</w:t>
            </w:r>
          </w:p>
        </w:tc>
        <w:tc>
          <w:tcPr>
            <w:tcW w:type="dxa" w:w="3600"/>
            <w:shd w:fill="2E7D32" w:val="clear"/>
            <w:tcMar>
              <w:top w:type="dxa" w:w="100"/>
              <w:left w:type="dxa" w:w="120"/>
              <w:bottom w:type="dxa" w:w="100"/>
              <w:right w:type="dxa" w:w="120"/>
            </w:tcMar>
          </w:tcPr>
          <w:p>
            <w:r>
              <w:rPr>
                <w:b/>
                <w:bCs/>
                <w:color w:val="FFFFFF"/>
              </w:rPr>
              <w:t xml:space="preserve">Example — Common Rust</w:t>
            </w:r>
          </w:p>
        </w:tc>
      </w:tr>
      <w:tr>
        <w:tc>
          <w:tcPr>
            <w:tcW w:type="dxa" w:w="1800"/>
            <w:tcMar>
              <w:top w:type="dxa" w:w="100"/>
              <w:left w:type="dxa" w:w="120"/>
              <w:bottom w:type="dxa" w:w="100"/>
              <w:right w:type="dxa" w:w="120"/>
            </w:tcMar>
          </w:tcPr>
          <w:p>
            <w:r>
              <w:t xml:space="preserve">Crop</w:t>
            </w:r>
          </w:p>
        </w:tc>
        <w:tc>
          <w:tcPr>
            <w:tcW w:type="dxa" w:w="3600"/>
            <w:tcMar>
              <w:top w:type="dxa" w:w="100"/>
              <w:left w:type="dxa" w:w="120"/>
              <w:bottom w:type="dxa" w:w="100"/>
              <w:right w:type="dxa" w:w="120"/>
            </w:tcMar>
          </w:tcPr>
          <w:p>
            <w:r>
              <w:t xml:space="preserve">Maize</w:t>
            </w:r>
          </w:p>
        </w:tc>
        <w:tc>
          <w:tcPr>
            <w:tcW w:type="dxa" w:w="3600"/>
            <w:tcMar>
              <w:top w:type="dxa" w:w="100"/>
              <w:left w:type="dxa" w:w="120"/>
              <w:bottom w:type="dxa" w:w="100"/>
              <w:right w:type="dxa" w:w="120"/>
            </w:tcMar>
          </w:tcPr>
          <w:p>
            <w:r>
              <w:t xml:space="preserve">Maize</w:t>
            </w:r>
          </w:p>
        </w:tc>
      </w:tr>
      <w:tr>
        <w:tc>
          <w:tcPr>
            <w:tcW w:type="dxa" w:w="1800"/>
            <w:tcMar>
              <w:top w:type="dxa" w:w="100"/>
              <w:left w:type="dxa" w:w="120"/>
              <w:bottom w:type="dxa" w:w="100"/>
              <w:right w:type="dxa" w:w="120"/>
            </w:tcMar>
          </w:tcPr>
          <w:p>
            <w:r>
              <w:t xml:space="preserve">Disease class</w:t>
            </w:r>
          </w:p>
        </w:tc>
        <w:tc>
          <w:tcPr>
            <w:tcW w:type="dxa" w:w="3600"/>
            <w:tcMar>
              <w:top w:type="dxa" w:w="100"/>
              <w:left w:type="dxa" w:w="120"/>
              <w:bottom w:type="dxa" w:w="100"/>
              <w:right w:type="dxa" w:w="120"/>
            </w:tcMar>
          </w:tcPr>
          <w:p>
            <w:r>
              <w:t xml:space="preserve">Blight (Northern Leaf Blight)</w:t>
            </w:r>
          </w:p>
        </w:tc>
        <w:tc>
          <w:tcPr>
            <w:tcW w:type="dxa" w:w="3600"/>
            <w:tcMar>
              <w:top w:type="dxa" w:w="100"/>
              <w:left w:type="dxa" w:w="120"/>
              <w:bottom w:type="dxa" w:w="100"/>
              <w:right w:type="dxa" w:w="120"/>
            </w:tcMar>
          </w:tcPr>
          <w:p>
            <w:r>
              <w:t xml:space="preserve">Common Rust</w:t>
            </w:r>
          </w:p>
        </w:tc>
      </w:tr>
      <w:tr>
        <w:tc>
          <w:tcPr>
            <w:tcW w:type="dxa" w:w="1800"/>
            <w:tcMar>
              <w:top w:type="dxa" w:w="100"/>
              <w:left w:type="dxa" w:w="120"/>
              <w:bottom w:type="dxa" w:w="100"/>
              <w:right w:type="dxa" w:w="120"/>
            </w:tcMar>
          </w:tcPr>
          <w:p>
            <w:r>
              <w:t xml:space="preserve">Symptoms</w:t>
            </w:r>
          </w:p>
        </w:tc>
        <w:tc>
          <w:tcPr>
            <w:tcW w:type="dxa" w:w="3600"/>
            <w:tcMar>
              <w:top w:type="dxa" w:w="100"/>
              <w:left w:type="dxa" w:w="120"/>
              <w:bottom w:type="dxa" w:w="100"/>
              <w:right w:type="dxa" w:w="120"/>
            </w:tcMar>
          </w:tcPr>
          <w:p>
            <w:r>
              <w:t xml:space="preserve">Long, elliptical grey-green to tan lesions on leaves</w:t>
            </w:r>
          </w:p>
        </w:tc>
        <w:tc>
          <w:tcPr>
            <w:tcW w:type="dxa" w:w="3600"/>
            <w:tcMar>
              <w:top w:type="dxa" w:w="100"/>
              <w:left w:type="dxa" w:w="120"/>
              <w:bottom w:type="dxa" w:w="100"/>
              <w:right w:type="dxa" w:w="120"/>
            </w:tcMar>
          </w:tcPr>
          <w:p>
            <w:r>
              <w:t xml:space="preserve">Small, reddish-brown, powdery pustules scattered on both leaf surfaces</w:t>
            </w:r>
          </w:p>
        </w:tc>
      </w:tr>
      <w:tr>
        <w:tc>
          <w:tcPr>
            <w:tcW w:type="dxa" w:w="1800"/>
            <w:tcMar>
              <w:top w:type="dxa" w:w="100"/>
              <w:left w:type="dxa" w:w="120"/>
              <w:bottom w:type="dxa" w:w="100"/>
              <w:right w:type="dxa" w:w="120"/>
            </w:tcMar>
          </w:tcPr>
          <w:p>
            <w:r>
              <w:t xml:space="preserve">Likely cause</w:t>
            </w:r>
          </w:p>
        </w:tc>
        <w:tc>
          <w:tcPr>
            <w:tcW w:type="dxa" w:w="3600"/>
            <w:tcMar>
              <w:top w:type="dxa" w:w="100"/>
              <w:left w:type="dxa" w:w="120"/>
              <w:bottom w:type="dxa" w:w="100"/>
              <w:right w:type="dxa" w:w="120"/>
            </w:tcMar>
          </w:tcPr>
          <w:p>
            <w:r>
              <w:t xml:space="preserve">Fungal (Exserohilum turcicum), favored by cool, humid conditions</w:t>
            </w:r>
          </w:p>
        </w:tc>
        <w:tc>
          <w:tcPr>
            <w:tcW w:type="dxa" w:w="3600"/>
            <w:tcMar>
              <w:top w:type="dxa" w:w="100"/>
              <w:left w:type="dxa" w:w="120"/>
              <w:bottom w:type="dxa" w:w="100"/>
              <w:right w:type="dxa" w:w="120"/>
            </w:tcMar>
          </w:tcPr>
          <w:p>
            <w:r>
              <w:t xml:space="preserve">Fungal (Puccinia sorghi), spread by windborne spores</w:t>
            </w:r>
          </w:p>
        </w:tc>
      </w:tr>
      <w:tr>
        <w:tc>
          <w:tcPr>
            <w:tcW w:type="dxa" w:w="1800"/>
            <w:tcMar>
              <w:top w:type="dxa" w:w="100"/>
              <w:left w:type="dxa" w:w="120"/>
              <w:bottom w:type="dxa" w:w="100"/>
              <w:right w:type="dxa" w:w="120"/>
            </w:tcMar>
          </w:tcPr>
          <w:p>
            <w:r>
              <w:t xml:space="preserve">Follow-up</w:t>
            </w:r>
          </w:p>
        </w:tc>
        <w:tc>
          <w:tcPr>
            <w:tcW w:type="dxa" w:w="3600"/>
            <w:tcMar>
              <w:top w:type="dxa" w:w="100"/>
              <w:left w:type="dxa" w:w="120"/>
              <w:bottom w:type="dxa" w:w="100"/>
              <w:right w:type="dxa" w:w="120"/>
            </w:tcMar>
          </w:tcPr>
          <w:p>
            <w:r>
              <w:t xml:space="preserve">Rotate crops, remove infected debris, apply fungicide if severe</w:t>
            </w:r>
          </w:p>
        </w:tc>
        <w:tc>
          <w:tcPr>
            <w:tcW w:type="dxa" w:w="3600"/>
            <w:tcMar>
              <w:top w:type="dxa" w:w="100"/>
              <w:left w:type="dxa" w:w="120"/>
              <w:bottom w:type="dxa" w:w="100"/>
              <w:right w:type="dxa" w:w="120"/>
            </w:tcMar>
          </w:tcPr>
          <w:p>
            <w:r>
              <w:t xml:space="preserve">Plant resistant hybrids, apply fungicide if infection is early and severe, monitor humidity</w:t>
            </w:r>
          </w:p>
        </w:tc>
      </w:tr>
    </w:tbl>
    <w:p>
      <w:pPr>
        <w:spacing w:before="300"/>
      </w:pPr>
    </w:p>
    <w:p>
      <w:pPr>
        <w:pStyle w:val="Heading2"/>
        <w:spacing w:after="120" w:before="240"/>
      </w:pPr>
      <w:r>
        <w:t xml:space="preserve">Diagnosis Flow</w:t>
      </w:r>
    </w:p>
    <w:p>
      <w:pPr>
        <w:spacing w:after="160"/>
      </w:pPr>
      <w:r>
        <w:t xml:space="preserve">image → CNN prediction (class + confidence) → lookup in knowledge base → structured response (diagnosis, reason, follow-up), or top-k candidates + disclaimer if confidence is low.</w:t>
      </w:r>
    </w:p>
    <w:p>
      <w:pPr>
        <w:spacing w:after="160"/>
      </w:pPr>
      <w:r>
        <w:t xml:space="preserve">This same table is the retrieval source for the chatbot — the chatbot's knowledge is exactly the set of maize classes the CNN can recognize, nothing more.</w:t>
      </w:r>
    </w:p>
    <w:p>
      <w:pPr>
        <w:pStyle w:val="Heading1"/>
        <w:spacing w:after="160" w:before="320"/>
      </w:pPr>
      <w:r>
        <w:t xml:space="preserve">6  Chatbot</w:t>
      </w:r>
    </w:p>
    <w:p>
      <w:pPr>
        <w:pStyle w:val="Heading2"/>
        <w:spacing w:after="120" w:before="240"/>
      </w:pPr>
      <w:r>
        <w:t xml:space="preserve">Scope</w:t>
      </w:r>
    </w:p>
    <w:p>
      <w:pPr>
        <w:spacing w:after="160"/>
      </w:pPr>
      <w:r>
        <w:t xml:space="preserve">Answers questions grounded in the knowledge base above — the specific maize diseases the CNN was trained on (Blight, Common Rust, Gray Leaf Spot) plus healthy-plant guidance. This excludes general agriculture topics broadly (other crops, livestock, fertilizer advice, planting schedules, market prices, irrigation, crop rotation, pest issues unrelated to the trained diseases, etc.), and also excludes maize diseases simply not present in the dataset.</w:t>
      </w:r>
    </w:p>
    <w:p>
      <w:pPr>
        <w:pStyle w:val="Heading2"/>
        <w:spacing w:after="120" w:before="240"/>
      </w:pPr>
      <w:r>
        <w:t xml:space="preserve">Out-of-Scope Behavior (Decision to Make Explicitly)</w:t>
      </w:r>
    </w:p>
    <w:p>
      <w:pPr>
        <w:spacing w:after="160"/>
      </w:pPr>
      <w:r>
        <w:t xml:space="preserve">When a question falls outside the knowledge base, the recommended default is for the chatbot to say it doesn't have data on that topic, rather than silently falling back to the underlying LLM's general knowledge — this keeps the system's answers honest and consistent with what the diagnosis engine actually knows. A labeled general-knowledge fallback is possible but should be an explicit, disclosed design choice if used.</w:t>
      </w:r>
    </w:p>
    <w:p>
      <w:pPr>
        <w:pStyle w:val="Heading2"/>
        <w:spacing w:after="120" w:before="240"/>
      </w:pPr>
      <w:r>
        <w:t xml:space="preserve">Architecture</w:t>
      </w:r>
    </w:p>
    <w:p>
      <w:pPr>
        <w:spacing w:after="160"/>
      </w:pPr>
      <w:r>
        <w:t xml:space="preserve">Retrieval-augmented: relevant knowledge base entries are pulled based on the user's question, then passed to an LLM (via API) to generate a natural-language answer grounded in that data.</w:t>
      </w:r>
    </w:p>
    <w:p>
      <w:pPr>
        <w:pStyle w:val="Heading1"/>
        <w:spacing w:after="160" w:before="320"/>
      </w:pPr>
      <w:r>
        <w:t xml:space="preserve">7  Suggested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2E7D32" w:val="clear"/>
            <w:tcMar>
              <w:top w:type="dxa" w:w="100"/>
              <w:left w:type="dxa" w:w="120"/>
              <w:bottom w:type="dxa" w:w="100"/>
              <w:right w:type="dxa" w:w="120"/>
            </w:tcMar>
          </w:tcPr>
          <w:p>
            <w:r>
              <w:rPr>
                <w:b/>
                <w:bCs/>
                <w:color w:val="FFFFFF"/>
              </w:rPr>
              <w:t xml:space="preserve">Layer</w:t>
            </w:r>
          </w:p>
        </w:tc>
        <w:tc>
          <w:tcPr>
            <w:tcW w:type="dxa" w:w="6600"/>
            <w:shd w:fill="2E7D32" w:val="clear"/>
            <w:tcMar>
              <w:top w:type="dxa" w:w="100"/>
              <w:left w:type="dxa" w:w="120"/>
              <w:bottom w:type="dxa" w:w="100"/>
              <w:right w:type="dxa" w:w="120"/>
            </w:tcMar>
          </w:tcPr>
          <w:p>
            <w:r>
              <w:rPr>
                <w:b/>
                <w:bCs/>
                <w:color w:val="FFFFFF"/>
              </w:rPr>
              <w:t xml:space="preserve">Suggested Tools</w:t>
            </w:r>
          </w:p>
        </w:tc>
      </w:tr>
      <w:tr>
        <w:tc>
          <w:tcPr>
            <w:tcW w:type="dxa" w:w="2400"/>
            <w:tcMar>
              <w:top w:type="dxa" w:w="100"/>
              <w:left w:type="dxa" w:w="120"/>
              <w:bottom w:type="dxa" w:w="100"/>
              <w:right w:type="dxa" w:w="120"/>
            </w:tcMar>
          </w:tcPr>
          <w:p>
            <w:r>
              <w:t xml:space="preserve">Model training</w:t>
            </w:r>
          </w:p>
        </w:tc>
        <w:tc>
          <w:tcPr>
            <w:tcW w:type="dxa" w:w="6600"/>
            <w:tcMar>
              <w:top w:type="dxa" w:w="100"/>
              <w:left w:type="dxa" w:w="120"/>
              <w:bottom w:type="dxa" w:w="100"/>
              <w:right w:type="dxa" w:w="120"/>
            </w:tcMar>
          </w:tcPr>
          <w:p>
            <w:r>
              <w:t xml:space="preserve">Python, TensorFlow/Keras or PyTorch</w:t>
            </w:r>
          </w:p>
        </w:tc>
      </w:tr>
      <w:tr>
        <w:tc>
          <w:tcPr>
            <w:tcW w:type="dxa" w:w="2400"/>
            <w:tcMar>
              <w:top w:type="dxa" w:w="100"/>
              <w:left w:type="dxa" w:w="120"/>
              <w:bottom w:type="dxa" w:w="100"/>
              <w:right w:type="dxa" w:w="120"/>
            </w:tcMar>
          </w:tcPr>
          <w:p>
            <w:r>
              <w:t xml:space="preserve">Backend/API</w:t>
            </w:r>
          </w:p>
        </w:tc>
        <w:tc>
          <w:tcPr>
            <w:tcW w:type="dxa" w:w="6600"/>
            <w:tcMar>
              <w:top w:type="dxa" w:w="100"/>
              <w:left w:type="dxa" w:w="120"/>
              <w:bottom w:type="dxa" w:w="100"/>
              <w:right w:type="dxa" w:w="120"/>
            </w:tcMar>
          </w:tcPr>
          <w:p>
            <w:r>
              <w:t xml:space="preserve">Flask or FastAPI</w:t>
            </w:r>
          </w:p>
        </w:tc>
      </w:tr>
      <w:tr>
        <w:tc>
          <w:tcPr>
            <w:tcW w:type="dxa" w:w="2400"/>
            <w:tcMar>
              <w:top w:type="dxa" w:w="100"/>
              <w:left w:type="dxa" w:w="120"/>
              <w:bottom w:type="dxa" w:w="100"/>
              <w:right w:type="dxa" w:w="120"/>
            </w:tcMar>
          </w:tcPr>
          <w:p>
            <w:r>
              <w:t xml:space="preserve">Database</w:t>
            </w:r>
          </w:p>
        </w:tc>
        <w:tc>
          <w:tcPr>
            <w:tcW w:type="dxa" w:w="6600"/>
            <w:tcMar>
              <w:top w:type="dxa" w:w="100"/>
              <w:left w:type="dxa" w:w="120"/>
              <w:bottom w:type="dxa" w:w="100"/>
              <w:right w:type="dxa" w:w="120"/>
            </w:tcMar>
          </w:tcPr>
          <w:p>
            <w:r>
              <w:t xml:space="preserve">PostgreSQL, MySQL, or SQLite (SQLite is fine for a project-scale knowledge base)</w:t>
            </w:r>
          </w:p>
        </w:tc>
      </w:tr>
      <w:tr>
        <w:tc>
          <w:tcPr>
            <w:tcW w:type="dxa" w:w="2400"/>
            <w:tcMar>
              <w:top w:type="dxa" w:w="100"/>
              <w:left w:type="dxa" w:w="120"/>
              <w:bottom w:type="dxa" w:w="100"/>
              <w:right w:type="dxa" w:w="120"/>
            </w:tcMar>
          </w:tcPr>
          <w:p>
            <w:r>
              <w:t xml:space="preserve">Frontend</w:t>
            </w:r>
          </w:p>
        </w:tc>
        <w:tc>
          <w:tcPr>
            <w:tcW w:type="dxa" w:w="6600"/>
            <w:tcMar>
              <w:top w:type="dxa" w:w="100"/>
              <w:left w:type="dxa" w:w="120"/>
              <w:bottom w:type="dxa" w:w="100"/>
              <w:right w:type="dxa" w:w="120"/>
            </w:tcMar>
          </w:tcPr>
          <w:p>
            <w:r>
              <w:t xml:space="preserve">React, or a simpler Streamlit app for an MVP demo</w:t>
            </w:r>
          </w:p>
        </w:tc>
      </w:tr>
      <w:tr>
        <w:tc>
          <w:tcPr>
            <w:tcW w:type="dxa" w:w="2400"/>
            <w:tcMar>
              <w:top w:type="dxa" w:w="100"/>
              <w:left w:type="dxa" w:w="120"/>
              <w:bottom w:type="dxa" w:w="100"/>
              <w:right w:type="dxa" w:w="120"/>
            </w:tcMar>
          </w:tcPr>
          <w:p>
            <w:r>
              <w:t xml:space="preserve">Chatbot LLM</w:t>
            </w:r>
          </w:p>
        </w:tc>
        <w:tc>
          <w:tcPr>
            <w:tcW w:type="dxa" w:w="6600"/>
            <w:tcMar>
              <w:top w:type="dxa" w:w="100"/>
              <w:left w:type="dxa" w:w="120"/>
              <w:bottom w:type="dxa" w:w="100"/>
              <w:right w:type="dxa" w:w="120"/>
            </w:tcMar>
          </w:tcPr>
          <w:p>
            <w:r>
              <w:t xml:space="preserve">Any hosted LLM API for the generation step, with your own database as the retrieval source</w:t>
            </w:r>
          </w:p>
        </w:tc>
      </w:tr>
    </w:tbl>
    <w:p>
      <w:pPr>
        <w:pStyle w:val="Heading1"/>
        <w:spacing w:after="160" w:before="320"/>
      </w:pPr>
      <w:r>
        <w:t xml:space="preserve">8  Suggested Phases</w:t>
      </w:r>
    </w:p>
    <w:p>
      <w:pPr>
        <w:pStyle w:val="Heading2"/>
        <w:spacing w:after="120" w:before="240"/>
      </w:pPr>
      <w:r>
        <w:t xml:space="preserve">Phase 1 — Core Diagnosis Engine</w:t>
      </w:r>
    </w:p>
    <w:p>
      <w:pPr>
        <w:pStyle w:val="ListParagraph"/>
        <w:numPr>
          <w:ilvl w:val="0"/>
          <w:numId w:val="1"/>
        </w:numPr>
        <w:spacing w:after="80"/>
      </w:pPr>
      <w:r>
        <w:t xml:space="preserve">Data collection/preprocessing on the maize dataset</w:t>
      </w:r>
    </w:p>
    <w:p>
      <w:pPr>
        <w:pStyle w:val="ListParagraph"/>
        <w:numPr>
          <w:ilvl w:val="0"/>
          <w:numId w:val="1"/>
        </w:numPr>
        <w:spacing w:after="80"/>
      </w:pPr>
      <w:r>
        <w:t xml:space="preserve">CNN training (transfer learning)</w:t>
      </w:r>
    </w:p>
    <w:p>
      <w:pPr>
        <w:pStyle w:val="ListParagraph"/>
        <w:numPr>
          <w:ilvl w:val="0"/>
          <w:numId w:val="1"/>
        </w:numPr>
        <w:spacing w:after="80"/>
      </w:pPr>
      <w:r>
        <w:t xml:space="preserve">Evaluation and confidence threshold tuning</w:t>
      </w:r>
    </w:p>
    <w:p>
      <w:pPr>
        <w:pStyle w:val="ListParagraph"/>
        <w:numPr>
          <w:ilvl w:val="0"/>
          <w:numId w:val="1"/>
        </w:numPr>
        <w:spacing w:after="80"/>
      </w:pPr>
      <w:r>
        <w:t xml:space="preserve">Top-k low-confidence output</w:t>
      </w:r>
    </w:p>
    <w:p>
      <w:pPr>
        <w:pStyle w:val="Heading2"/>
        <w:spacing w:after="120" w:before="240"/>
      </w:pPr>
      <w:r>
        <w:t xml:space="preserve">Phase 2 — Knowledge Base + Reasoning Layer</w:t>
      </w:r>
    </w:p>
    <w:p>
      <w:pPr>
        <w:pStyle w:val="ListParagraph"/>
        <w:numPr>
          <w:ilvl w:val="0"/>
          <w:numId w:val="1"/>
        </w:numPr>
        <w:spacing w:after="80"/>
      </w:pPr>
      <w:r>
        <w:t xml:space="preserve">Design and populate the maize disease-info database</w:t>
      </w:r>
    </w:p>
    <w:p>
      <w:pPr>
        <w:pStyle w:val="ListParagraph"/>
        <w:numPr>
          <w:ilvl w:val="0"/>
          <w:numId w:val="1"/>
        </w:numPr>
        <w:spacing w:after="80"/>
      </w:pPr>
      <w:r>
        <w:t xml:space="preserve">Build the API layer connecting CNN output → knowledge base lookup → structured response</w:t>
      </w:r>
    </w:p>
    <w:p>
      <w:pPr>
        <w:pStyle w:val="Heading2"/>
        <w:spacing w:after="120" w:before="240"/>
      </w:pPr>
      <w:r>
        <w:t xml:space="preserve">Phase 3 — Chatbot</w:t>
      </w:r>
    </w:p>
    <w:p>
      <w:pPr>
        <w:pStyle w:val="ListParagraph"/>
        <w:numPr>
          <w:ilvl w:val="0"/>
          <w:numId w:val="1"/>
        </w:numPr>
        <w:spacing w:after="80"/>
      </w:pPr>
      <w:r>
        <w:t xml:space="preserve">Retrieval layer over the knowledge base + LLM integration for natural-language answers</w:t>
      </w:r>
    </w:p>
    <w:p>
      <w:pPr>
        <w:pStyle w:val="ListParagraph"/>
        <w:numPr>
          <w:ilvl w:val="0"/>
          <w:numId w:val="1"/>
        </w:numPr>
        <w:spacing w:after="80"/>
      </w:pPr>
      <w:r>
        <w:t xml:space="preserve">Explicit handling for out-of-scope questions</w:t>
      </w:r>
    </w:p>
    <w:p>
      <w:pPr>
        <w:pStyle w:val="Heading2"/>
        <w:spacing w:after="120" w:before="240"/>
      </w:pPr>
      <w:r>
        <w:t xml:space="preserve">Phase 4 — Interface &amp; Integration</w:t>
      </w:r>
    </w:p>
    <w:p>
      <w:pPr>
        <w:pStyle w:val="ListParagraph"/>
        <w:numPr>
          <w:ilvl w:val="0"/>
          <w:numId w:val="1"/>
        </w:numPr>
        <w:spacing w:after="80"/>
      </w:pPr>
      <w:r>
        <w:t xml:space="preserve">Upload-and-diagnose flow</w:t>
      </w:r>
    </w:p>
    <w:p>
      <w:pPr>
        <w:pStyle w:val="ListParagraph"/>
        <w:numPr>
          <w:ilvl w:val="0"/>
          <w:numId w:val="1"/>
        </w:numPr>
        <w:spacing w:after="80"/>
      </w:pPr>
      <w:r>
        <w:t xml:space="preserve">Chat interface</w:t>
      </w:r>
    </w:p>
    <w:p>
      <w:pPr>
        <w:pStyle w:val="ListParagraph"/>
        <w:numPr>
          <w:ilvl w:val="0"/>
          <w:numId w:val="1"/>
        </w:numPr>
        <w:spacing w:after="80"/>
      </w:pPr>
      <w:r>
        <w:t xml:space="preserve">End-to-end testing</w:t>
      </w:r>
    </w:p>
    <w:p>
      <w:pPr>
        <w:pStyle w:val="Heading1"/>
        <w:spacing w:after="160" w:before="320"/>
      </w:pPr>
      <w:r>
        <w:t xml:space="preserve">9  Known Limitations &amp; Future Work</w:t>
      </w:r>
    </w:p>
    <w:p>
      <w:pPr>
        <w:pStyle w:val="Heading2"/>
        <w:spacing w:after="120" w:before="240"/>
      </w:pPr>
      <w:r>
        <w:t xml:space="preserve">Single-Crop Scope</w:t>
      </w:r>
    </w:p>
    <w:p>
      <w:pPr>
        <w:spacing w:after="160"/>
      </w:pPr>
      <w:r>
        <w:t xml:space="preserve">Narrowing to maize keeps the project focused and achievable, but the system will not generalize to other crops. Any user-facing product built on this design should make the maize-only scope explicit.</w:t>
      </w:r>
    </w:p>
    <w:p>
      <w:pPr>
        <w:pStyle w:val="Heading2"/>
        <w:spacing w:after="120" w:before="240"/>
      </w:pPr>
      <w:r>
        <w:t xml:space="preserve">Lab-Condition Imagery</w:t>
      </w:r>
    </w:p>
    <w:p>
      <w:pPr>
        <w:spacing w:after="160"/>
      </w:pPr>
      <w:r>
        <w:t xml:space="preserve">The chosen dataset is predominantly lab/clean-background imagery rather than field photos. As a result, real-world performance on messy, real-world field images (varied lighting, soil and background clutter, mixed growth stages) is untested and likely to be weaker than validation-set performance suggests.</w:t>
      </w:r>
    </w:p>
    <w:p>
      <w:pPr>
        <w:pStyle w:val="Heading2"/>
        <w:spacing w:after="120" w:before="240"/>
      </w:pPr>
      <w:r>
        <w:t xml:space="preserve">Overconfident Out-of-Distribution Predictions</w:t>
      </w:r>
    </w:p>
    <w:p>
      <w:pPr>
        <w:spacing w:after="160"/>
      </w:pPr>
      <w:r>
        <w:t xml:space="preserve">Softmax classifiers can sometimes assign a high confidence score to the wrong class when shown a disease genuinely outside the training set — not just a low, spread-out score. The confidence-threshold approach in this project reliably catches “spread out, unsure” cases, but won't reliably catch every “confidently wrong” case. This is a known, documented limitation of the current design rather than something this project attempts to solve.</w:t>
      </w:r>
    </w:p>
    <w:p>
      <w:pPr>
        <w:pStyle w:val="Heading2"/>
        <w:spacing w:after="120" w:before="240"/>
      </w:pPr>
      <w:r>
        <w:t xml:space="preserve">Future Follow-Up Work</w:t>
      </w:r>
    </w:p>
    <w:p>
      <w:pPr>
        <w:spacing w:after="160"/>
      </w:pPr>
      <w:r>
        <w:t xml:space="preserve">For anyone extending this project:</w:t>
      </w:r>
    </w:p>
    <w:p>
      <w:pPr>
        <w:pStyle w:val="ListParagraph"/>
        <w:numPr>
          <w:ilvl w:val="0"/>
          <w:numId w:val="1"/>
        </w:numPr>
        <w:spacing w:after="80"/>
      </w:pPr>
      <w:r>
        <w:t xml:space="preserve">Explore more advanced out-of-distribution (OOD) detection techniques — e.g., temperature scaling, model ensembles, or a dedicated OOD-detection layer — to better separate “genuinely unseen disease” from “low-quality/ambiguous photo of a known disease.”</w:t>
      </w:r>
    </w:p>
    <w:p>
      <w:pPr>
        <w:pStyle w:val="ListParagraph"/>
        <w:numPr>
          <w:ilvl w:val="0"/>
          <w:numId w:val="1"/>
        </w:numPr>
        <w:spacing w:after="80"/>
      </w:pPr>
      <w:r>
        <w:t xml:space="preserve">Add a real-world, field-condition maize image set (or collect one) to validate and improve robustness beyond the lab-condition training data.</w:t>
      </w:r>
    </w:p>
    <w:p>
      <w:pPr>
        <w:pStyle w:val="ListParagraph"/>
        <w:numPr>
          <w:ilvl w:val="0"/>
          <w:numId w:val="1"/>
        </w:numPr>
        <w:spacing w:after="80"/>
      </w:pPr>
      <w:r>
        <w:t xml:space="preserve">Consider expanding to additional maize diseases (e.g., Gray Leaf Spot sub-variants, bacterial streak) or additional crops once the maize-only pipeline is proven out.</w:t>
      </w:r>
    </w:p>
    <w:p>
      <w:pPr>
        <w:pStyle w:val="Heading1"/>
        <w:spacing w:after="160" w:before="320"/>
      </w:pPr>
      <w:r>
        <w:t xml:space="preserve">10  Open Questions to Nail Down Before Building</w:t>
      </w:r>
    </w:p>
    <w:p>
      <w:pPr>
        <w:spacing w:after="160"/>
      </w:pPr>
      <w:r>
        <w:t xml:space="preserve">The following decisions should be finalized before development begins:</w:t>
      </w:r>
    </w:p>
    <w:p>
      <w:pPr>
        <w:pStyle w:val="ListParagraph"/>
        <w:numPr>
          <w:ilvl w:val="0"/>
          <w:numId w:val="1"/>
        </w:numPr>
        <w:spacing w:after="80"/>
      </w:pPr>
      <w:r>
        <w:t xml:space="preserve">Project timeline — affects how much time is realistic to spend on data cleaning, augmentation, and threshold tuning.</w:t>
      </w:r>
    </w:p>
    <w:p>
      <w:pPr>
        <w:pStyle w:val="ListParagraph"/>
        <w:numPr>
          <w:ilvl w:val="0"/>
          <w:numId w:val="1"/>
        </w:numPr>
        <w:spacing w:after="80"/>
      </w:pPr>
      <w:r>
        <w:t xml:space="preserve">Preferred framework — TensorFlow/Keras vs. PyTorch — and frontend approach.</w:t>
      </w:r>
    </w:p>
    <w:p>
      <w:pPr>
        <w:pStyle w:val="ListParagraph"/>
        <w:numPr>
          <w:ilvl w:val="0"/>
          <w:numId w:val="1"/>
        </w:numPr>
        <w:spacing w:after="80"/>
      </w:pPr>
      <w:r>
        <w:t xml:space="preserve">Final decision on chatbot out-of-scope behavior — decline vs. disclosed general-knowledge fallback.</w:t>
      </w:r>
    </w:p>
    <w:p>
      <w:pPr>
        <w:pStyle w:val="ListParagraph"/>
        <w:numPr>
          <w:ilvl w:val="0"/>
          <w:numId w:val="1"/>
        </w:numPr>
        <w:spacing w:after="80"/>
      </w:pPr>
      <w:r>
        <w:t xml:space="preserve">Whether to source or collect a supplementary field-condition maize image set to address the lab-imagery limitation noted in Section 9.</w:t>
      </w:r>
    </w:p>
    <w:p>
      <w:pPr>
        <w:spacing w:before="300"/>
      </w:pPr>
    </w:p>
    <w:p>
      <w:pPr>
        <w:spacing w:after="160"/>
      </w:pPr>
      <w:r>
        <w:rPr>
          <w:i/>
          <w:iCs/>
          <w:color w:val="777777"/>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nwdsooa-c-sr8ooz8uk5" Type="http://schemas.openxmlformats.org/officeDocument/2006/relationships/hyperlink" Target="https://github.com/smaranjitghose/corn_pathology_ai/tree/main/dat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2026-08-20T09:40:45.101Z</dcterms:created>
  <dcterms:modified xsi:type="dcterms:W3CDTF">2026-08-20T09:40:45.113Z</dcterms:modified>
</cp:coreProperties>
</file>

<file path=docProps/custom.xml><?xml version="1.0" encoding="utf-8"?>
<Properties xmlns="http://schemas.openxmlformats.org/officeDocument/2006/custom-properties" xmlns:vt="http://schemas.openxmlformats.org/officeDocument/2006/docPropsVTypes"/>
</file>