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23C83" w14:textId="63EDC2F5" w:rsidR="003B4B69" w:rsidRPr="003461C5" w:rsidRDefault="003461C5">
      <w:pPr>
        <w:rPr>
          <w:b/>
        </w:rPr>
      </w:pPr>
      <w:r>
        <w:rPr>
          <w:b/>
        </w:rPr>
        <w:t xml:space="preserve">Executive Summary for Malathion ESA Assessment </w:t>
      </w:r>
    </w:p>
    <w:p w14:paraId="7768384A" w14:textId="77777777" w:rsidR="00330467" w:rsidRDefault="00330467"/>
    <w:p w14:paraId="744472C1" w14:textId="7499B4E0" w:rsidR="00330467" w:rsidRPr="00330467" w:rsidRDefault="00330467" w:rsidP="00330467">
      <w:r>
        <w:t>T</w:t>
      </w:r>
      <w:r w:rsidRPr="00330467">
        <w:t xml:space="preserve">his </w:t>
      </w:r>
      <w:r w:rsidR="005B5236">
        <w:t xml:space="preserve">Biological Evaluation </w:t>
      </w:r>
      <w:r w:rsidR="00AB7440">
        <w:t xml:space="preserve">(BE) </w:t>
      </w:r>
      <w:r w:rsidR="005B5236">
        <w:t>assesses</w:t>
      </w:r>
      <w:r w:rsidRPr="00330467">
        <w:t xml:space="preserve"> </w:t>
      </w:r>
      <w:r w:rsidR="000A6E22">
        <w:t>whether the registered uses of malathion</w:t>
      </w:r>
      <w:r w:rsidRPr="00330467">
        <w:t xml:space="preserve"> (PC code 05</w:t>
      </w:r>
      <w:r w:rsidR="000A6E22">
        <w:t>7701</w:t>
      </w:r>
      <w:r w:rsidRPr="00330467">
        <w:t>)</w:t>
      </w:r>
      <w:r w:rsidR="003C3423">
        <w:t xml:space="preserve">, based on the </w:t>
      </w:r>
      <w:r w:rsidR="003C3423" w:rsidRPr="003C3423">
        <w:t>U.S. Environmental Protection Agency’s (EPA)</w:t>
      </w:r>
      <w:r w:rsidR="003C3423">
        <w:t xml:space="preserve"> proposed federal action,</w:t>
      </w:r>
      <w:r w:rsidRPr="00330467">
        <w:t xml:space="preserve"> will result in </w:t>
      </w:r>
      <w:r w:rsidR="00AB7440">
        <w:t xml:space="preserve">a </w:t>
      </w:r>
      <w:r w:rsidRPr="00330467">
        <w:t xml:space="preserve">potential </w:t>
      </w:r>
      <w:r w:rsidR="001107D6">
        <w:t>effect</w:t>
      </w:r>
      <w:r w:rsidR="00AB7440" w:rsidRPr="00330467">
        <w:t xml:space="preserve"> </w:t>
      </w:r>
      <w:r w:rsidRPr="00330467">
        <w:t xml:space="preserve">to </w:t>
      </w:r>
      <w:r w:rsidR="00AB7440">
        <w:t xml:space="preserve">an individual of an </w:t>
      </w:r>
      <w:r w:rsidRPr="00330467">
        <w:t xml:space="preserve">endangered and threatened (listed) species and/or </w:t>
      </w:r>
      <w:r w:rsidR="00AB7440">
        <w:t xml:space="preserve">its </w:t>
      </w:r>
      <w:r w:rsidRPr="00330467">
        <w:t>designated critical habitat</w:t>
      </w:r>
      <w:r>
        <w:t>s</w:t>
      </w:r>
      <w:r w:rsidR="007166BF">
        <w:t xml:space="preserve">. </w:t>
      </w:r>
      <w:r w:rsidR="00504FC6">
        <w:t>The evaluation</w:t>
      </w:r>
      <w:r w:rsidR="001C4866">
        <w:t xml:space="preserve"> </w:t>
      </w:r>
      <w:r w:rsidR="00504FC6">
        <w:t xml:space="preserve">also </w:t>
      </w:r>
      <w:r w:rsidR="001C4866">
        <w:t xml:space="preserve">includes analysis of impacts to </w:t>
      </w:r>
      <w:r w:rsidR="00504FC6">
        <w:t xml:space="preserve">candidate species </w:t>
      </w:r>
      <w:r w:rsidR="00DD3A5F">
        <w:t>as well as</w:t>
      </w:r>
      <w:r w:rsidR="00504FC6">
        <w:t xml:space="preserve"> </w:t>
      </w:r>
      <w:r w:rsidR="001C4866">
        <w:t>species and critical habitat proposed for listing</w:t>
      </w:r>
      <w:r w:rsidR="00504FC6">
        <w:t xml:space="preserve"> for conferencing purposes under section 7 of the Endangered Species Act (ESA). </w:t>
      </w:r>
      <w:r>
        <w:t xml:space="preserve">This evaluation, conducted as part </w:t>
      </w:r>
      <w:r w:rsidRPr="00330467">
        <w:t>of the registration review process</w:t>
      </w:r>
      <w:r w:rsidR="00BC1486">
        <w:t xml:space="preserve"> (EPA’s action under consultation)</w:t>
      </w:r>
      <w:r>
        <w:t xml:space="preserve">, </w:t>
      </w:r>
      <w:r w:rsidR="005B5236">
        <w:t xml:space="preserve">is based on interim scientific methods developed in response to </w:t>
      </w:r>
      <w:r w:rsidRPr="00330467">
        <w:t>recommendations of the National Research Council (</w:t>
      </w:r>
      <w:r w:rsidR="009C68AE">
        <w:t>NRC, 2013)</w:t>
      </w:r>
      <w:r w:rsidR="007166BF">
        <w:t xml:space="preserve"> and</w:t>
      </w:r>
      <w:r w:rsidR="009C68AE">
        <w:t xml:space="preserve"> </w:t>
      </w:r>
      <w:r w:rsidRPr="00330467">
        <w:t>use</w:t>
      </w:r>
      <w:r w:rsidR="009C68AE">
        <w:t>s</w:t>
      </w:r>
      <w:r w:rsidRPr="00330467">
        <w:t xml:space="preserve"> a </w:t>
      </w:r>
      <w:r w:rsidR="007166BF">
        <w:t>three-step consultation process.</w:t>
      </w:r>
    </w:p>
    <w:p w14:paraId="00F34A55" w14:textId="77777777" w:rsidR="00CD3692" w:rsidRDefault="00CD3692" w:rsidP="00CD3692"/>
    <w:p w14:paraId="107747DE" w14:textId="395493E1" w:rsidR="00CE1C66" w:rsidRDefault="00CD3692" w:rsidP="00CE1C66">
      <w:r w:rsidRPr="00CD3692">
        <w:t xml:space="preserve">Step 1 consists of two parts:  1) establishing the action area for the proposed action, and 2) overlaying the </w:t>
      </w:r>
      <w:r w:rsidR="00504FC6">
        <w:t xml:space="preserve">listed, proposed, and candidate </w:t>
      </w:r>
      <w:r w:rsidRPr="00CD3692">
        <w:t xml:space="preserve">species </w:t>
      </w:r>
      <w:r w:rsidR="00C40778">
        <w:t xml:space="preserve">(hereafter, “listed species” </w:t>
      </w:r>
      <w:r w:rsidRPr="00CD3692">
        <w:t>ranges and</w:t>
      </w:r>
      <w:r w:rsidR="00504FC6">
        <w:t xml:space="preserve"> proposed and final</w:t>
      </w:r>
      <w:r w:rsidRPr="00CD3692">
        <w:t xml:space="preserve"> critical habitat designations</w:t>
      </w:r>
      <w:r w:rsidR="00C40778">
        <w:t xml:space="preserve"> (hereafter, “critical habitat(s)”</w:t>
      </w:r>
      <w:r w:rsidRPr="00CD3692">
        <w:t xml:space="preserve"> onto the action area </w:t>
      </w:r>
      <w:r w:rsidR="00BF577E">
        <w:t>(</w:t>
      </w:r>
      <w:r w:rsidR="00BF577E" w:rsidRPr="00BF577E">
        <w:rPr>
          <w:b/>
        </w:rPr>
        <w:t>Section 1.4.1</w:t>
      </w:r>
      <w:r w:rsidR="00BF577E">
        <w:t>)</w:t>
      </w:r>
      <w:r w:rsidRPr="00CD3692">
        <w:t xml:space="preserve">.  </w:t>
      </w:r>
      <w:r w:rsidR="0035065E" w:rsidRPr="0035065E">
        <w:t>This step identifies which species and critical habitats have the potential to be affected by the proposed action</w:t>
      </w:r>
      <w:r w:rsidR="0035065E">
        <w:t>.</w:t>
      </w:r>
      <w:r w:rsidR="0035065E" w:rsidRPr="0035065E">
        <w:t xml:space="preserve"> </w:t>
      </w:r>
      <w:r w:rsidR="00875818">
        <w:t>A “no effect” determination is made for species and</w:t>
      </w:r>
      <w:r w:rsidR="00504FC6">
        <w:t xml:space="preserve"> </w:t>
      </w:r>
      <w:r w:rsidR="00875818">
        <w:t xml:space="preserve">critical habitats whose ranges do not overlap with the action area </w:t>
      </w:r>
      <w:r w:rsidR="00875818" w:rsidRPr="00A63BEF">
        <w:t>and listed species that are presumed extinct</w:t>
      </w:r>
      <w:r w:rsidR="000A1407" w:rsidRPr="00A63BEF">
        <w:t xml:space="preserve"> as identified in the species reports. The categorization of “presumed extinct” are often difficult to ascertain and will be reviewed through outreach with FWS </w:t>
      </w:r>
      <w:r w:rsidR="000A1407" w:rsidRPr="00A63BEF">
        <w:rPr>
          <w:rFonts w:cs="Tahoma"/>
          <w:bCs/>
        </w:rPr>
        <w:t>headquarters and</w:t>
      </w:r>
      <w:r w:rsidR="000A1407" w:rsidRPr="00A63BEF">
        <w:rPr>
          <w:bCs/>
        </w:rPr>
        <w:t xml:space="preserve"> </w:t>
      </w:r>
      <w:r w:rsidR="000A1407" w:rsidRPr="00A63BEF">
        <w:rPr>
          <w:rFonts w:cs="Tahoma"/>
          <w:bCs/>
        </w:rPr>
        <w:t>field</w:t>
      </w:r>
      <w:r w:rsidR="000A1407" w:rsidRPr="00A63BEF">
        <w:rPr>
          <w:bCs/>
        </w:rPr>
        <w:t xml:space="preserve"> offices</w:t>
      </w:r>
      <w:r w:rsidR="000A1407" w:rsidRPr="00A63BEF">
        <w:rPr>
          <w:rFonts w:cs="Tahoma"/>
          <w:bCs/>
        </w:rPr>
        <w:t xml:space="preserve">, as needed. </w:t>
      </w:r>
      <w:r w:rsidRPr="00A63BEF">
        <w:t xml:space="preserve">Any </w:t>
      </w:r>
      <w:r w:rsidR="00C40778" w:rsidRPr="00A63BEF">
        <w:t xml:space="preserve">listed </w:t>
      </w:r>
      <w:r w:rsidRPr="00A63BEF">
        <w:t xml:space="preserve">species and/or critical habitat that warrants a “may affect” determination in Step 1 </w:t>
      </w:r>
      <w:r w:rsidR="00BF577E" w:rsidRPr="00A63BEF">
        <w:t>(</w:t>
      </w:r>
      <w:r w:rsidR="00BF577E" w:rsidRPr="00A63BEF">
        <w:rPr>
          <w:i/>
        </w:rPr>
        <w:t>i.e.,</w:t>
      </w:r>
      <w:r w:rsidR="00BF577E" w:rsidRPr="00A63BEF">
        <w:rPr>
          <w:rFonts w:ascii="Calibri" w:eastAsia="Calibri" w:hAnsi="Calibri" w:cs="Calibri"/>
          <w:color w:val="000000"/>
        </w:rPr>
        <w:t xml:space="preserve"> its </w:t>
      </w:r>
      <w:r w:rsidR="00BF577E" w:rsidRPr="00A63BEF">
        <w:t>range and/or critical habitat overlaps spatially with the action area</w:t>
      </w:r>
      <w:r w:rsidR="00875818" w:rsidRPr="00A63BEF">
        <w:t xml:space="preserve"> and it is not presumed extinct</w:t>
      </w:r>
      <w:r w:rsidR="00BF577E" w:rsidRPr="00A63BEF">
        <w:t xml:space="preserve">) </w:t>
      </w:r>
      <w:r w:rsidRPr="00A63BEF">
        <w:t>c</w:t>
      </w:r>
      <w:r w:rsidRPr="00CD3692">
        <w:t xml:space="preserve">ontinues for further analysis in Step 2.  </w:t>
      </w:r>
      <w:r w:rsidR="009C68AE">
        <w:t>Step 2</w:t>
      </w:r>
      <w:r w:rsidRPr="00CD3692">
        <w:t xml:space="preserve"> determine</w:t>
      </w:r>
      <w:r w:rsidR="009C68AE">
        <w:t>s</w:t>
      </w:r>
      <w:r w:rsidRPr="00CD3692">
        <w:t xml:space="preserve"> whether effects to individuals of listed species and/or </w:t>
      </w:r>
      <w:r w:rsidR="00083B6C" w:rsidRPr="00083B6C">
        <w:t>Primary Consti</w:t>
      </w:r>
      <w:r w:rsidR="00083B6C">
        <w:t>tuent Elements (PCEs)/</w:t>
      </w:r>
      <w:r w:rsidR="00083B6C" w:rsidRPr="00083B6C">
        <w:t xml:space="preserve">physical and biological features (PBFs) </w:t>
      </w:r>
      <w:r w:rsidR="005B5236">
        <w:t xml:space="preserve">of critical habitat </w:t>
      </w:r>
      <w:r w:rsidR="00802603">
        <w:t>result</w:t>
      </w:r>
      <w:r w:rsidRPr="00CD3692">
        <w:t xml:space="preserve"> in a “may affect, not likely to adver</w:t>
      </w:r>
      <w:r w:rsidR="000A575F">
        <w:t>sely affect (</w:t>
      </w:r>
      <w:r w:rsidRPr="00CD3692">
        <w:t>NLA</w:t>
      </w:r>
      <w:r w:rsidR="000A575F">
        <w:t>A)</w:t>
      </w:r>
      <w:r w:rsidR="00802603">
        <w:t xml:space="preserve"> determination,</w:t>
      </w:r>
      <w:r w:rsidRPr="00CD3692">
        <w:t xml:space="preserve"> or a “may affect, likely to adversel</w:t>
      </w:r>
      <w:r w:rsidR="00802603">
        <w:t xml:space="preserve">y affect” (LAA) determination. </w:t>
      </w:r>
      <w:r w:rsidR="004D1BDC" w:rsidRPr="004D1BDC">
        <w:t xml:space="preserve">In Step 2, toxicity </w:t>
      </w:r>
      <w:r w:rsidR="00242799">
        <w:t>(indirect and direct effects data) and exposure information</w:t>
      </w:r>
      <w:r w:rsidR="00242799" w:rsidRPr="004D1BDC">
        <w:t xml:space="preserve"> </w:t>
      </w:r>
      <w:r w:rsidR="004D1BDC" w:rsidRPr="004D1BDC">
        <w:t xml:space="preserve">are analyzed using a </w:t>
      </w:r>
      <w:r w:rsidR="004D1BDC">
        <w:t>weight-of-evidence (</w:t>
      </w:r>
      <w:proofErr w:type="spellStart"/>
      <w:r w:rsidR="004D1BDC" w:rsidRPr="004D1BDC">
        <w:t>WoE</w:t>
      </w:r>
      <w:proofErr w:type="spellEnd"/>
      <w:r w:rsidR="004D1BDC">
        <w:t>)</w:t>
      </w:r>
      <w:r w:rsidR="004D1BDC" w:rsidRPr="004D1BDC">
        <w:t xml:space="preserve"> </w:t>
      </w:r>
      <w:r w:rsidR="00875818">
        <w:t xml:space="preserve">approach. These data are </w:t>
      </w:r>
      <w:r w:rsidR="004D1BDC" w:rsidRPr="004D1BDC">
        <w:t>organized into lines of evidence that inform risk hypotheses and ultimately the effect determinations for listed species</w:t>
      </w:r>
      <w:r w:rsidR="000A575F">
        <w:t xml:space="preserve"> and </w:t>
      </w:r>
      <w:r w:rsidR="00504FC6">
        <w:t xml:space="preserve">their </w:t>
      </w:r>
      <w:r w:rsidR="000A575F">
        <w:t>critical habitats</w:t>
      </w:r>
      <w:r w:rsidR="004D1BDC" w:rsidRPr="004D1BDC">
        <w:t xml:space="preserve">. </w:t>
      </w:r>
      <w:r w:rsidRPr="00CD3692">
        <w:t xml:space="preserve">The NLAA determinations </w:t>
      </w:r>
      <w:r w:rsidR="00BF577E">
        <w:t>are</w:t>
      </w:r>
      <w:r w:rsidRPr="00CD3692">
        <w:t xml:space="preserve"> submitted to the</w:t>
      </w:r>
      <w:r w:rsidR="00893971">
        <w:t xml:space="preserve"> US Fish and Wildlife Service and the National Marine Fisheries Services (the</w:t>
      </w:r>
      <w:r w:rsidRPr="00CD3692">
        <w:t xml:space="preserve"> Services</w:t>
      </w:r>
      <w:r w:rsidR="00893971">
        <w:t>)</w:t>
      </w:r>
      <w:r w:rsidRPr="00CD3692">
        <w:t xml:space="preserve"> for concurrence, while the listed resources with a LAA determination </w:t>
      </w:r>
      <w:r w:rsidR="00BF577E">
        <w:t>are</w:t>
      </w:r>
      <w:r w:rsidRPr="00CD3692">
        <w:t xml:space="preserve"> considered by the Services in their Biological Opinions (Step 3)</w:t>
      </w:r>
      <w:r w:rsidR="00802603">
        <w:t xml:space="preserve">. </w:t>
      </w:r>
      <w:r w:rsidRPr="00CD3692">
        <w:t xml:space="preserve">This </w:t>
      </w:r>
      <w:r w:rsidR="005B5236">
        <w:t>Biological Evaluation</w:t>
      </w:r>
      <w:r w:rsidRPr="00CD3692">
        <w:t xml:space="preserve"> represents Steps 1 and 2 in the</w:t>
      </w:r>
      <w:r w:rsidR="00A52C4E">
        <w:t xml:space="preserve"> ESA pesticide consultation process</w:t>
      </w:r>
      <w:r w:rsidR="005B5236">
        <w:t xml:space="preserve"> </w:t>
      </w:r>
      <w:r w:rsidRPr="00CD3692">
        <w:t xml:space="preserve">for </w:t>
      </w:r>
      <w:r w:rsidR="000A6E22">
        <w:t>malathion</w:t>
      </w:r>
      <w:r w:rsidRPr="00CD3692">
        <w:t>.</w:t>
      </w:r>
      <w:r w:rsidR="00CE1C66" w:rsidRPr="00CE1C66">
        <w:t xml:space="preserve">  </w:t>
      </w:r>
    </w:p>
    <w:p w14:paraId="19ABC58A" w14:textId="77777777" w:rsidR="00641ABE" w:rsidRDefault="00641ABE" w:rsidP="00CE1C66"/>
    <w:p w14:paraId="6DC61047" w14:textId="4CF338B9" w:rsidR="00641ABE" w:rsidRPr="00C633D9" w:rsidRDefault="00641ABE" w:rsidP="00CE1C66">
      <w:pPr>
        <w:rPr>
          <w:b/>
        </w:rPr>
      </w:pPr>
      <w:r w:rsidRPr="00033DB4">
        <w:rPr>
          <w:b/>
        </w:rPr>
        <w:t>General Information</w:t>
      </w:r>
    </w:p>
    <w:p w14:paraId="4B0CD0D6" w14:textId="77777777" w:rsidR="00761978" w:rsidRDefault="00761978" w:rsidP="00761978"/>
    <w:p w14:paraId="7C4FEE36" w14:textId="45A1C473" w:rsidR="000A6E22" w:rsidRPr="000A6E22" w:rsidRDefault="000A6E22" w:rsidP="000A6E22">
      <w:r w:rsidRPr="000A6E22">
        <w:t xml:space="preserve">Malathion is an organophosphate insecticide used on a wide variety of terrestrial food and feed crops, terrestrial non-food crops, aquatic food, non-agricultural indoor, outdoor sites, and for wide area public health uses. There is currently one active technical registrant for malathion and 96 active registrations (43 Section 3s, 53 Section 24c Special Local Needs, and </w:t>
      </w:r>
      <w:r>
        <w:t>no</w:t>
      </w:r>
      <w:r w:rsidRPr="000A6E22">
        <w:t xml:space="preserve"> Section 18 Emergency Exemptions) which include formulated end-use products and technical grade malathion (see </w:t>
      </w:r>
      <w:r w:rsidRPr="000A6E22">
        <w:rPr>
          <w:b/>
        </w:rPr>
        <w:t>APPENDIX 1-2</w:t>
      </w:r>
      <w:r w:rsidRPr="000A6E22">
        <w:t xml:space="preserve">). Currently, there are 4 malathion products that are co-formulated with other active-ingredients. Malathion can be applied in a dust, liquid or encapsulated form.  Aerial and ground application methods (including broadcast, fogger, and </w:t>
      </w:r>
      <w:proofErr w:type="spellStart"/>
      <w:r w:rsidRPr="000A6E22">
        <w:t>chemigation</w:t>
      </w:r>
      <w:proofErr w:type="spellEnd"/>
      <w:r w:rsidRPr="000A6E22">
        <w:t xml:space="preserve">) are allowed (see </w:t>
      </w:r>
      <w:r w:rsidRPr="000A6E22">
        <w:rPr>
          <w:b/>
        </w:rPr>
        <w:t>APPENDIX 1-3</w:t>
      </w:r>
      <w:r w:rsidRPr="000A6E22">
        <w:t xml:space="preserve"> for details).</w:t>
      </w:r>
    </w:p>
    <w:p w14:paraId="39D74F2D" w14:textId="77777777" w:rsidR="00F45B82" w:rsidRDefault="00F45B82" w:rsidP="00F45B82"/>
    <w:p w14:paraId="3CD8D084" w14:textId="77777777" w:rsidR="000A6E22" w:rsidRPr="000A6E22" w:rsidRDefault="000A6E22" w:rsidP="000A6E22">
      <w:r w:rsidRPr="000A6E22">
        <w:t xml:space="preserve">Malathion will enter the environment via spray directly onto soil, foliage, or impervious surfaces. Spray drift and runoff are primary routes of offsite transport with volatilization and leaching occurring under certain conditions. Rainfall transports malathion off-field through runoff, soil erosion, and leaching. The primary route for malathion dissipation is microbial metabolism to malathion dicarboxylic and monocarboxylic acids (malathion DCA and malathion MCA, respectively).  However, if malathion is in </w:t>
      </w:r>
      <w:r w:rsidRPr="000A6E22">
        <w:lastRenderedPageBreak/>
        <w:t xml:space="preserve">contact with metabolically inactive surfaces such as dry soils or impervious surfaces common in non-agricultural settings, photo-oxidation to the </w:t>
      </w:r>
      <w:proofErr w:type="spellStart"/>
      <w:r w:rsidRPr="000A6E22">
        <w:t>degradate</w:t>
      </w:r>
      <w:proofErr w:type="spellEnd"/>
      <w:r w:rsidRPr="000A6E22">
        <w:t xml:space="preserve"> </w:t>
      </w:r>
      <w:proofErr w:type="spellStart"/>
      <w:r w:rsidRPr="000A6E22">
        <w:t>malaoxon</w:t>
      </w:r>
      <w:proofErr w:type="spellEnd"/>
      <w:r w:rsidRPr="000A6E22">
        <w:t xml:space="preserve"> can occur. </w:t>
      </w:r>
      <w:proofErr w:type="spellStart"/>
      <w:r w:rsidRPr="000A6E22">
        <w:t>Malaoxon</w:t>
      </w:r>
      <w:proofErr w:type="spellEnd"/>
      <w:r w:rsidRPr="000A6E22">
        <w:t xml:space="preserve"> dissipates and degrades similarly to malathion. Malathion DCA and MCA are not considered residues of toxicological concern (see </w:t>
      </w:r>
      <w:r w:rsidRPr="000A6E22">
        <w:rPr>
          <w:b/>
        </w:rPr>
        <w:t>APPENDIX 1-9</w:t>
      </w:r>
      <w:r w:rsidRPr="000A6E22">
        <w:t>).</w:t>
      </w:r>
    </w:p>
    <w:p w14:paraId="2AA0BC6C" w14:textId="77777777" w:rsidR="00761978" w:rsidRPr="00761978" w:rsidRDefault="00761978" w:rsidP="00761978"/>
    <w:p w14:paraId="736938BF" w14:textId="49D67F66" w:rsidR="00761978" w:rsidRDefault="000A6E22" w:rsidP="00330467">
      <w:r>
        <w:t>Malathion</w:t>
      </w:r>
      <w:r w:rsidR="003C3423" w:rsidRPr="003C3423">
        <w:t xml:space="preserve"> is an organophosphate </w:t>
      </w:r>
      <w:r w:rsidR="003C3423">
        <w:t>insecticide</w:t>
      </w:r>
      <w:r w:rsidR="003C3423" w:rsidRPr="003C3423">
        <w:t xml:space="preserve"> used to kill insects systemically and on contact. Organophosphate toxicity </w:t>
      </w:r>
      <w:r w:rsidR="003C3423">
        <w:t xml:space="preserve">in animals </w:t>
      </w:r>
      <w:r w:rsidR="003C3423" w:rsidRPr="003C3423">
        <w:t>is based on the inhibition of the enzyme acetylcholinesterase</w:t>
      </w:r>
      <w:r w:rsidR="00C9564C">
        <w:t xml:space="preserve"> (</w:t>
      </w:r>
      <w:proofErr w:type="spellStart"/>
      <w:r w:rsidR="00C9564C">
        <w:t>AChE</w:t>
      </w:r>
      <w:proofErr w:type="spellEnd"/>
      <w:r w:rsidR="00C9564C">
        <w:t>)</w:t>
      </w:r>
      <w:r w:rsidR="003C3423" w:rsidRPr="003C3423">
        <w:t xml:space="preserve">. Inhibition of </w:t>
      </w:r>
      <w:proofErr w:type="spellStart"/>
      <w:r w:rsidR="003C3423" w:rsidRPr="003C3423">
        <w:t>AChE</w:t>
      </w:r>
      <w:proofErr w:type="spellEnd"/>
      <w:r w:rsidR="003C3423" w:rsidRPr="003C3423">
        <w:t xml:space="preserve"> interferes with proper neurotransmission in cholinergic synapses and neuromuscular junctions</w:t>
      </w:r>
      <w:r w:rsidR="00507E9A">
        <w:t xml:space="preserve"> which</w:t>
      </w:r>
      <w:r w:rsidR="003C3423" w:rsidRPr="003C3423">
        <w:t xml:space="preserve"> can lead to </w:t>
      </w:r>
      <w:proofErr w:type="spellStart"/>
      <w:r w:rsidR="003C3423" w:rsidRPr="003C3423">
        <w:t>sublethal</w:t>
      </w:r>
      <w:proofErr w:type="spellEnd"/>
      <w:r w:rsidR="003C3423" w:rsidRPr="003C3423">
        <w:t xml:space="preserve"> effects and mortality. </w:t>
      </w:r>
      <w:r w:rsidR="00761978" w:rsidRPr="00761978">
        <w:t xml:space="preserve">The effects of </w:t>
      </w:r>
      <w:r>
        <w:t>malathion</w:t>
      </w:r>
      <w:r w:rsidR="00761978" w:rsidRPr="00761978">
        <w:t xml:space="preserve"> have been studied extensively in many taxa, particularly in fish and aquatic and terrestrial inve</w:t>
      </w:r>
      <w:r w:rsidR="00761978">
        <w:t xml:space="preserve">rtebrates (see </w:t>
      </w:r>
      <w:r w:rsidR="00761978" w:rsidRPr="00761978">
        <w:rPr>
          <w:b/>
        </w:rPr>
        <w:t>Chapter 2</w:t>
      </w:r>
      <w:r w:rsidR="00761978">
        <w:t>)</w:t>
      </w:r>
      <w:r w:rsidR="00033DB4">
        <w:t xml:space="preserve">. </w:t>
      </w:r>
      <w:r w:rsidRPr="000A6E22">
        <w:t xml:space="preserve">The BE considered more than 900 </w:t>
      </w:r>
      <w:proofErr w:type="spellStart"/>
      <w:r w:rsidRPr="000A6E22">
        <w:t>ecotoxicity</w:t>
      </w:r>
      <w:proofErr w:type="spellEnd"/>
      <w:r w:rsidRPr="000A6E22">
        <w:t xml:space="preserve"> studies for </w:t>
      </w:r>
      <w:r>
        <w:t>malathion</w:t>
      </w:r>
      <w:r w:rsidRPr="000A6E22">
        <w:t xml:space="preserve"> (</w:t>
      </w:r>
      <w:proofErr w:type="gramStart"/>
      <w:r w:rsidRPr="000A6E22">
        <w:t>including  (</w:t>
      </w:r>
      <w:proofErr w:type="gramEnd"/>
      <w:r w:rsidRPr="000A6E22">
        <w:t xml:space="preserve">approximates) 225 fish and aquatic-phase amphibian studies,  260  aquatic invertebrate studies, 25 aquatic plant studies, 47 bird studies, 7 reptile and terrestrial-phase amphibian studies, 150 mammalian studies, 140 terrestrial invertebrate studies, and 49 terrestrial plant studies). </w:t>
      </w:r>
      <w:r w:rsidR="00761978" w:rsidRPr="00761978">
        <w:t xml:space="preserve">Studies include acute and chronic laboratory studies with either technical or formulated </w:t>
      </w:r>
      <w:r>
        <w:t>malathion</w:t>
      </w:r>
      <w:r w:rsidR="00761978" w:rsidRPr="00761978">
        <w:t>, and include both registrant-submitte</w:t>
      </w:r>
      <w:r w:rsidR="00CE1C66">
        <w:t>d and open literature studies</w:t>
      </w:r>
      <w:r w:rsidR="00C9564C">
        <w:t xml:space="preserve"> (search of relevant open literature data conducted up through </w:t>
      </w:r>
      <w:r>
        <w:t>August 201</w:t>
      </w:r>
      <w:r w:rsidR="0071784E">
        <w:t>3</w:t>
      </w:r>
      <w:r w:rsidR="00C9564C">
        <w:t>)</w:t>
      </w:r>
      <w:r w:rsidR="00CE1C66">
        <w:t>. Toxicity to taxa</w:t>
      </w:r>
      <w:r w:rsidR="00761978" w:rsidRPr="00761978">
        <w:t xml:space="preserve"> from exposure to other chemical stressors of concern (</w:t>
      </w:r>
      <w:r w:rsidR="00761978" w:rsidRPr="00761978">
        <w:rPr>
          <w:i/>
        </w:rPr>
        <w:t>i.e.</w:t>
      </w:r>
      <w:r w:rsidR="00761978" w:rsidRPr="00761978">
        <w:t xml:space="preserve">, </w:t>
      </w:r>
      <w:r>
        <w:t>malathion</w:t>
      </w:r>
      <w:r w:rsidR="00761978" w:rsidRPr="00761978">
        <w:t xml:space="preserve"> </w:t>
      </w:r>
      <w:proofErr w:type="spellStart"/>
      <w:r w:rsidR="00761978" w:rsidRPr="00761978">
        <w:t>oxon</w:t>
      </w:r>
      <w:proofErr w:type="spellEnd"/>
      <w:r w:rsidR="00761978" w:rsidRPr="00761978">
        <w:t>, mixtures</w:t>
      </w:r>
      <w:r w:rsidR="004C5C58">
        <w:t xml:space="preserve"> [</w:t>
      </w:r>
      <w:r w:rsidR="004C5C58" w:rsidRPr="004C5C58">
        <w:rPr>
          <w:i/>
        </w:rPr>
        <w:t>e.g.</w:t>
      </w:r>
      <w:r w:rsidR="004C5C58">
        <w:t>, t</w:t>
      </w:r>
      <w:r w:rsidR="004C5C58" w:rsidRPr="004C5C58">
        <w:t xml:space="preserve">ank mixtures, </w:t>
      </w:r>
      <w:r w:rsidR="004C5C58">
        <w:t>formulated products, and</w:t>
      </w:r>
      <w:r w:rsidR="004C5C58" w:rsidRPr="004C5C58">
        <w:t xml:space="preserve"> environmental mixtures</w:t>
      </w:r>
      <w:r w:rsidR="004C5C58">
        <w:t>]</w:t>
      </w:r>
      <w:r w:rsidR="00761978" w:rsidRPr="00761978">
        <w:t>) and non-chemical stressors (</w:t>
      </w:r>
      <w:r w:rsidR="00761978" w:rsidRPr="00761978">
        <w:rPr>
          <w:i/>
        </w:rPr>
        <w:t>e.g.</w:t>
      </w:r>
      <w:r w:rsidR="00761978" w:rsidRPr="00761978">
        <w:t xml:space="preserve">, temperature) are </w:t>
      </w:r>
      <w:r w:rsidR="00CE1C66">
        <w:t>also considered</w:t>
      </w:r>
      <w:r w:rsidR="00761978" w:rsidRPr="00761978">
        <w:t xml:space="preserve">. </w:t>
      </w:r>
    </w:p>
    <w:p w14:paraId="32EB337E" w14:textId="77777777" w:rsidR="00E91586" w:rsidRDefault="00E91586" w:rsidP="00507E9A"/>
    <w:p w14:paraId="48B45DA5" w14:textId="207019F9" w:rsidR="00E91586" w:rsidRPr="00033DB4" w:rsidRDefault="00E91586" w:rsidP="00507E9A">
      <w:pPr>
        <w:rPr>
          <w:b/>
        </w:rPr>
      </w:pPr>
      <w:r w:rsidRPr="00033DB4">
        <w:rPr>
          <w:b/>
        </w:rPr>
        <w:t xml:space="preserve">Exposure </w:t>
      </w:r>
      <w:r w:rsidR="00033DB4">
        <w:rPr>
          <w:b/>
        </w:rPr>
        <w:t>Methods</w:t>
      </w:r>
    </w:p>
    <w:p w14:paraId="54ABB624" w14:textId="77777777" w:rsidR="00E91586" w:rsidRPr="00507E9A" w:rsidRDefault="00E91586" w:rsidP="00507E9A"/>
    <w:p w14:paraId="3B8C051F" w14:textId="3B1CD9E9" w:rsidR="00160CD1" w:rsidRDefault="004D0F93" w:rsidP="00330467">
      <w:r w:rsidRPr="004D0F93">
        <w:t xml:space="preserve">Exposure values are based primarily on fate and transport model results.  For aquatic exposures, the </w:t>
      </w:r>
      <w:r w:rsidR="00ED538A">
        <w:t>Pesticide in Water Calculator (</w:t>
      </w:r>
      <w:r w:rsidRPr="004D0F93">
        <w:t>PWC</w:t>
      </w:r>
      <w:r w:rsidR="000026ED">
        <w:t>, v. 1.52</w:t>
      </w:r>
      <w:r w:rsidR="00BB7016">
        <w:t xml:space="preserve">, May </w:t>
      </w:r>
      <w:proofErr w:type="gramStart"/>
      <w:r w:rsidR="00BB7016">
        <w:t>2016</w:t>
      </w:r>
      <w:r w:rsidR="00ED538A">
        <w:t>)[</w:t>
      </w:r>
      <w:proofErr w:type="gramEnd"/>
      <w:r w:rsidR="002716A0">
        <w:t>a new graphical user interface used to run</w:t>
      </w:r>
      <w:r w:rsidRPr="004D0F93">
        <w:t xml:space="preserve"> </w:t>
      </w:r>
      <w:r w:rsidR="00ED538A">
        <w:t>Pesticide Root Zone Model (</w:t>
      </w:r>
      <w:r w:rsidRPr="004D0F93">
        <w:t>PRZM</w:t>
      </w:r>
      <w:r w:rsidR="00ED538A">
        <w:t>)</w:t>
      </w:r>
      <w:r w:rsidRPr="004D0F93">
        <w:t>/</w:t>
      </w:r>
      <w:r w:rsidR="00ED538A">
        <w:t>Variable Volume Water Body Model (</w:t>
      </w:r>
      <w:r w:rsidR="002716A0">
        <w:t>VVWM</w:t>
      </w:r>
      <w:r w:rsidRPr="004D0F93">
        <w:t>)</w:t>
      </w:r>
      <w:r w:rsidR="00ED538A">
        <w:t>]</w:t>
      </w:r>
      <w:r w:rsidRPr="004D0F93">
        <w:t xml:space="preserve">, </w:t>
      </w:r>
      <w:proofErr w:type="spellStart"/>
      <w:r w:rsidRPr="004D0F93">
        <w:t>AgDRIFT</w:t>
      </w:r>
      <w:proofErr w:type="spellEnd"/>
      <w:r w:rsidRPr="004D0F93">
        <w:t xml:space="preserve"> and </w:t>
      </w:r>
      <w:proofErr w:type="spellStart"/>
      <w:r w:rsidR="00ED538A">
        <w:t>AGricultural</w:t>
      </w:r>
      <w:proofErr w:type="spellEnd"/>
      <w:r w:rsidR="00ED538A">
        <w:t xml:space="preserve"> </w:t>
      </w:r>
      <w:proofErr w:type="spellStart"/>
      <w:r w:rsidR="00ED538A">
        <w:t>DISPersal</w:t>
      </w:r>
      <w:proofErr w:type="spellEnd"/>
      <w:r w:rsidR="00ED538A">
        <w:t xml:space="preserve"> (</w:t>
      </w:r>
      <w:r w:rsidRPr="004D0F93">
        <w:t>AGDISP</w:t>
      </w:r>
      <w:r w:rsidR="00ED538A">
        <w:t>)</w:t>
      </w:r>
      <w:r w:rsidRPr="004D0F93">
        <w:t xml:space="preserve"> models are used to predict aquatic exposure in generic</w:t>
      </w:r>
      <w:r w:rsidR="00C22250">
        <w:t xml:space="preserve"> habitats, referred to as bins (</w:t>
      </w:r>
      <w:r w:rsidRPr="004D0F93">
        <w:t xml:space="preserve">see </w:t>
      </w:r>
      <w:r w:rsidRPr="004D0F93">
        <w:rPr>
          <w:b/>
        </w:rPr>
        <w:t>Section 1.4.2.2.a.1.</w:t>
      </w:r>
      <w:r w:rsidR="00033DB4">
        <w:t>). </w:t>
      </w:r>
      <w:r w:rsidR="00BD61C4">
        <w:t>Aquatic e</w:t>
      </w:r>
      <w:r w:rsidRPr="004D0F93">
        <w:t>xposure results for the bin</w:t>
      </w:r>
      <w:r w:rsidR="00D23232">
        <w:t>(s)</w:t>
      </w:r>
      <w:r w:rsidRPr="004D0F93">
        <w:t xml:space="preserve"> most appropriate for the species and/or critical habitat being assessed are used.  For terrestrial exposures, </w:t>
      </w:r>
      <w:r w:rsidR="00ED538A">
        <w:t>existing models [</w:t>
      </w:r>
      <w:r w:rsidR="00190605" w:rsidRPr="00893971">
        <w:rPr>
          <w:i/>
        </w:rPr>
        <w:t>e.g</w:t>
      </w:r>
      <w:r w:rsidR="00190605">
        <w:t xml:space="preserve">., </w:t>
      </w:r>
      <w:proofErr w:type="spellStart"/>
      <w:proofErr w:type="gramStart"/>
      <w:r w:rsidRPr="004D0F93">
        <w:t>TerrPlant</w:t>
      </w:r>
      <w:proofErr w:type="spellEnd"/>
      <w:r w:rsidRPr="004D0F93">
        <w:t xml:space="preserve">, </w:t>
      </w:r>
      <w:r>
        <w:t xml:space="preserve"> </w:t>
      </w:r>
      <w:proofErr w:type="spellStart"/>
      <w:r w:rsidRPr="004D0F93">
        <w:t>AgDRIFT</w:t>
      </w:r>
      <w:proofErr w:type="spellEnd"/>
      <w:proofErr w:type="gramEnd"/>
      <w:r w:rsidRPr="004D0F93">
        <w:t>, AGDISP</w:t>
      </w:r>
      <w:r>
        <w:t xml:space="preserve">, earthworm fugacity model, </w:t>
      </w:r>
      <w:r w:rsidR="00ED538A">
        <w:t xml:space="preserve">Terrestrial </w:t>
      </w:r>
      <w:proofErr w:type="spellStart"/>
      <w:r w:rsidR="00ED538A">
        <w:t>Herpetofaunal</w:t>
      </w:r>
      <w:proofErr w:type="spellEnd"/>
      <w:r w:rsidR="00ED538A">
        <w:t xml:space="preserve"> Exposure Residue Program Simulation (</w:t>
      </w:r>
      <w:r>
        <w:t>T-HERPS</w:t>
      </w:r>
      <w:r w:rsidR="00ED538A">
        <w:t>)</w:t>
      </w:r>
      <w:r w:rsidR="00D23232">
        <w:t>,</w:t>
      </w:r>
      <w:r w:rsidRPr="004D0F93">
        <w:t xml:space="preserve"> </w:t>
      </w:r>
      <w:r w:rsidR="00ED538A">
        <w:t>Terrestrial Residue Exposure model (</w:t>
      </w:r>
      <w:r w:rsidRPr="004D0F93">
        <w:t>T-REX</w:t>
      </w:r>
      <w:r w:rsidR="00ED538A">
        <w:t>)</w:t>
      </w:r>
      <w:r w:rsidR="00D23232">
        <w:t xml:space="preserve"> and portions of the Terrestrial Investigation Model (TIM)</w:t>
      </w:r>
      <w:r w:rsidR="00ED538A">
        <w:t>]</w:t>
      </w:r>
      <w:r w:rsidRPr="004D0F93">
        <w:t xml:space="preserve"> were combined into a single tool that is referred to as the Terrestrial E</w:t>
      </w:r>
      <w:r w:rsidR="00ED538A">
        <w:t>ffects Determination</w:t>
      </w:r>
      <w:r w:rsidRPr="004D0F93">
        <w:t xml:space="preserve"> tool</w:t>
      </w:r>
      <w:r w:rsidR="00C22250">
        <w:t xml:space="preserve"> </w:t>
      </w:r>
      <w:r w:rsidR="00ED538A">
        <w:t>(TED)</w:t>
      </w:r>
      <w:r w:rsidR="00C22250">
        <w:t>(</w:t>
      </w:r>
      <w:r w:rsidRPr="004D0F93">
        <w:t xml:space="preserve">see </w:t>
      </w:r>
      <w:r w:rsidRPr="004D0F93">
        <w:rPr>
          <w:b/>
        </w:rPr>
        <w:t>Section 1.4.2.2.a.2.</w:t>
      </w:r>
      <w:r w:rsidRPr="004D0F93">
        <w:t xml:space="preserve"> and </w:t>
      </w:r>
      <w:r w:rsidRPr="004D0F93">
        <w:rPr>
          <w:b/>
        </w:rPr>
        <w:t>ATTACHMENT 1-7</w:t>
      </w:r>
      <w:r w:rsidR="00C22250" w:rsidRPr="00C22250">
        <w:t>)</w:t>
      </w:r>
      <w:r w:rsidRPr="004D0F93">
        <w:t xml:space="preserve">. </w:t>
      </w:r>
      <w:r w:rsidR="003D63A9">
        <w:t xml:space="preserve">A more detailed </w:t>
      </w:r>
      <w:r w:rsidR="000A575F">
        <w:t xml:space="preserve">analysis using TIM and </w:t>
      </w:r>
      <w:r w:rsidR="00D23232">
        <w:t xml:space="preserve">the </w:t>
      </w:r>
      <w:r w:rsidR="00D40751">
        <w:t>Markov Chain Nest Productivity Model (</w:t>
      </w:r>
      <w:proofErr w:type="spellStart"/>
      <w:r w:rsidR="000A575F">
        <w:t>MCnest</w:t>
      </w:r>
      <w:proofErr w:type="spellEnd"/>
      <w:r w:rsidR="00D40751">
        <w:t>)</w:t>
      </w:r>
      <w:r w:rsidR="000A575F">
        <w:t xml:space="preserve"> i</w:t>
      </w:r>
      <w:r w:rsidR="003D63A9">
        <w:t xml:space="preserve">s also conducted </w:t>
      </w:r>
      <w:r w:rsidR="000A575F">
        <w:t>for</w:t>
      </w:r>
      <w:r w:rsidR="003D63A9">
        <w:t xml:space="preserve"> a subset of listed bird species.</w:t>
      </w:r>
      <w:r w:rsidR="00AB7440">
        <w:t xml:space="preserve">  The models used in this </w:t>
      </w:r>
      <w:r w:rsidR="005012E2">
        <w:t>BE</w:t>
      </w:r>
      <w:r w:rsidR="00AB7440">
        <w:t xml:space="preserve"> can be found at </w:t>
      </w:r>
      <w:hyperlink r:id="rId7" w:history="1">
        <w:r w:rsidR="00AB7440" w:rsidRPr="00DC7FF2">
          <w:rPr>
            <w:rStyle w:val="Hyperlink"/>
            <w:color w:val="0000FF"/>
          </w:rPr>
          <w:t>https://www.epa.gov/endangered-species/provisional-models-endangered-species-pesticide-assessments</w:t>
        </w:r>
      </w:hyperlink>
      <w:r w:rsidR="00AB7440">
        <w:t xml:space="preserve">.  </w:t>
      </w:r>
    </w:p>
    <w:p w14:paraId="4938168C" w14:textId="77777777" w:rsidR="00C633D9" w:rsidRDefault="00C633D9" w:rsidP="00330467"/>
    <w:p w14:paraId="2FB38585" w14:textId="7D07D198" w:rsidR="00C633D9" w:rsidRDefault="00033DB4" w:rsidP="00330467">
      <w:r>
        <w:rPr>
          <w:b/>
        </w:rPr>
        <w:t>O</w:t>
      </w:r>
      <w:r w:rsidR="00C633D9" w:rsidRPr="00C633D9">
        <w:rPr>
          <w:b/>
        </w:rPr>
        <w:t xml:space="preserve">verlap </w:t>
      </w:r>
      <w:r>
        <w:rPr>
          <w:b/>
        </w:rPr>
        <w:t>A</w:t>
      </w:r>
      <w:r w:rsidR="00C633D9" w:rsidRPr="00033DB4">
        <w:rPr>
          <w:b/>
        </w:rPr>
        <w:t>nalys</w:t>
      </w:r>
      <w:r>
        <w:rPr>
          <w:b/>
        </w:rPr>
        <w:t>e</w:t>
      </w:r>
      <w:r w:rsidR="00C633D9" w:rsidRPr="00033DB4">
        <w:rPr>
          <w:b/>
        </w:rPr>
        <w:t>s</w:t>
      </w:r>
    </w:p>
    <w:p w14:paraId="0B2C4ED3" w14:textId="77777777" w:rsidR="00C633D9" w:rsidRDefault="00C633D9" w:rsidP="00330467"/>
    <w:p w14:paraId="3E6A1B5C" w14:textId="77777777" w:rsidR="00920468" w:rsidRPr="00920468" w:rsidRDefault="00920468" w:rsidP="00920468">
      <w:r w:rsidRPr="00920468">
        <w:t xml:space="preserve">The mosquito </w:t>
      </w:r>
      <w:proofErr w:type="spellStart"/>
      <w:r w:rsidRPr="00920468">
        <w:t>adulticide</w:t>
      </w:r>
      <w:proofErr w:type="spellEnd"/>
      <w:r w:rsidRPr="00920468">
        <w:t xml:space="preserve"> is presumed to overlap with all of the listed species ranges and critical habitats because it has no specific geographic footprint. Other use layers (as identified in </w:t>
      </w:r>
      <w:r w:rsidRPr="00920468">
        <w:rPr>
          <w:b/>
          <w:bCs/>
        </w:rPr>
        <w:t>ATTACHMENTS 1-2</w:t>
      </w:r>
      <w:r w:rsidRPr="00920468">
        <w:t xml:space="preserve"> and </w:t>
      </w:r>
      <w:r w:rsidRPr="00920468">
        <w:rPr>
          <w:b/>
          <w:bCs/>
        </w:rPr>
        <w:t>1-3</w:t>
      </w:r>
      <w:r w:rsidRPr="00920468">
        <w:t>) that overlap with a large percentage of listed species ranges and critical habitats (</w:t>
      </w:r>
      <w:r w:rsidRPr="00920468">
        <w:rPr>
          <w:i/>
          <w:iCs/>
        </w:rPr>
        <w:t>i.e</w:t>
      </w:r>
      <w:r w:rsidRPr="00920468">
        <w:t>., these use sites overlap with ~50 – 90% of the species and critical habitats, by number) include: developed land, open space developed, pasture, other grains, vegetables and ground fruit, other row crops, orchards and vineyards, wheat, and corn.  The actual degree of overlap of specific uses with a particular species range varies widely and will be impacted by off-site transport distances (</w:t>
      </w:r>
      <w:r w:rsidRPr="00920468">
        <w:rPr>
          <w:i/>
          <w:iCs/>
        </w:rPr>
        <w:t>e.g.</w:t>
      </w:r>
      <w:r w:rsidRPr="00920468">
        <w:t>, spray drift and downstream transport).</w:t>
      </w:r>
    </w:p>
    <w:p w14:paraId="23970E16" w14:textId="1B199A3F" w:rsidR="00C633D9" w:rsidRDefault="00C633D9" w:rsidP="00330467"/>
    <w:p w14:paraId="1B8E1921" w14:textId="77777777" w:rsidR="003461C5" w:rsidRDefault="003461C5" w:rsidP="00330467"/>
    <w:p w14:paraId="114C138D" w14:textId="77777777" w:rsidR="000F4327" w:rsidRDefault="000F4327" w:rsidP="00330467"/>
    <w:p w14:paraId="54323EAA" w14:textId="0E532830" w:rsidR="00C633D9" w:rsidRPr="00033DB4" w:rsidRDefault="00033DB4" w:rsidP="00330467">
      <w:pPr>
        <w:rPr>
          <w:b/>
        </w:rPr>
      </w:pPr>
      <w:r>
        <w:rPr>
          <w:b/>
        </w:rPr>
        <w:t>Effects Determinations</w:t>
      </w:r>
    </w:p>
    <w:p w14:paraId="513F5C26" w14:textId="77777777" w:rsidR="00C633D9" w:rsidRDefault="00C633D9" w:rsidP="00330467"/>
    <w:p w14:paraId="4F44E0F6" w14:textId="7B57AC18" w:rsidR="00457E1B" w:rsidRPr="007B79A6" w:rsidRDefault="009D72A8" w:rsidP="00457E1B">
      <w:pPr>
        <w:rPr>
          <w:rFonts w:ascii="Calibri" w:eastAsia="Calibri" w:hAnsi="Calibri" w:cs="Calibri"/>
          <w:color w:val="000000"/>
        </w:rPr>
      </w:pPr>
      <w:r>
        <w:t xml:space="preserve">To help determine the potential for risk, effects thresholds </w:t>
      </w:r>
      <w:r w:rsidR="000A575F">
        <w:t>a</w:t>
      </w:r>
      <w:r>
        <w:t>re established (</w:t>
      </w:r>
      <w:r w:rsidRPr="00E61DA7">
        <w:t xml:space="preserve">see </w:t>
      </w:r>
      <w:r w:rsidR="00E61DA7" w:rsidRPr="00E61DA7">
        <w:t>Interim agreement</w:t>
      </w:r>
      <w:r w:rsidR="00E61DA7" w:rsidRPr="00E61DA7">
        <w:rPr>
          <w:rStyle w:val="FootnoteReference"/>
        </w:rPr>
        <w:footnoteReference w:id="1"/>
      </w:r>
      <w:r w:rsidRPr="00E61DA7">
        <w:t>])</w:t>
      </w:r>
      <w:r>
        <w:t xml:space="preserve">. </w:t>
      </w:r>
      <w:r w:rsidR="004D0F93" w:rsidRPr="004D0F93">
        <w:t>For mortality</w:t>
      </w:r>
      <w:r w:rsidR="005760B5">
        <w:t xml:space="preserve"> </w:t>
      </w:r>
      <w:r w:rsidR="00BD61C4">
        <w:t xml:space="preserve">to </w:t>
      </w:r>
      <w:r w:rsidR="005760B5">
        <w:t>animals</w:t>
      </w:r>
      <w:r w:rsidR="004D0F93" w:rsidRPr="004D0F93">
        <w:t xml:space="preserve">, the one-in-a-million chance of mortality </w:t>
      </w:r>
      <w:r w:rsidR="00555EFB">
        <w:t>[</w:t>
      </w:r>
      <w:r w:rsidR="005760B5">
        <w:t xml:space="preserve">based either on </w:t>
      </w:r>
      <w:r w:rsidR="005760B5" w:rsidRPr="005760B5">
        <w:t>the 5</w:t>
      </w:r>
      <w:r w:rsidR="005760B5" w:rsidRPr="005760B5">
        <w:rPr>
          <w:vertAlign w:val="superscript"/>
        </w:rPr>
        <w:t>th</w:t>
      </w:r>
      <w:r w:rsidR="005760B5" w:rsidRPr="005760B5">
        <w:t xml:space="preserve"> percentile of the </w:t>
      </w:r>
      <w:r w:rsidR="00555EFB">
        <w:t>Species Sensitivity Distribution (</w:t>
      </w:r>
      <w:r w:rsidR="005760B5" w:rsidRPr="005760B5">
        <w:t>SSD</w:t>
      </w:r>
      <w:r w:rsidR="00555EFB">
        <w:t>)</w:t>
      </w:r>
      <w:r w:rsidR="005760B5" w:rsidRPr="005760B5">
        <w:t xml:space="preserve"> or a surrogate LD</w:t>
      </w:r>
      <w:r w:rsidR="005760B5" w:rsidRPr="005760B5">
        <w:rPr>
          <w:vertAlign w:val="subscript"/>
        </w:rPr>
        <w:t>50</w:t>
      </w:r>
      <w:r w:rsidR="005760B5" w:rsidRPr="005760B5">
        <w:t>, LC</w:t>
      </w:r>
      <w:r w:rsidR="005760B5" w:rsidRPr="005760B5">
        <w:rPr>
          <w:vertAlign w:val="subscript"/>
        </w:rPr>
        <w:t>50</w:t>
      </w:r>
      <w:r w:rsidR="005760B5" w:rsidRPr="005760B5">
        <w:t xml:space="preserve">, or </w:t>
      </w:r>
      <w:proofErr w:type="spellStart"/>
      <w:r w:rsidR="005760B5" w:rsidRPr="005760B5">
        <w:t>EC</w:t>
      </w:r>
      <w:r w:rsidR="005760B5">
        <w:rPr>
          <w:vertAlign w:val="subscript"/>
        </w:rPr>
        <w:t>x</w:t>
      </w:r>
      <w:proofErr w:type="spellEnd"/>
      <w:r w:rsidR="00555EFB">
        <w:t>]</w:t>
      </w:r>
      <w:r w:rsidR="005760B5">
        <w:t xml:space="preserve"> </w:t>
      </w:r>
      <w:r>
        <w:t>is used to assess direct effects to a listed species</w:t>
      </w:r>
      <w:r w:rsidR="005760B5">
        <w:t xml:space="preserve"> </w:t>
      </w:r>
      <w:r w:rsidR="004D0F93" w:rsidRPr="004D0F93">
        <w:t>(for details</w:t>
      </w:r>
      <w:r w:rsidR="004D0F93" w:rsidRPr="005760B5">
        <w:t>, see</w:t>
      </w:r>
      <w:r w:rsidR="004D0F93" w:rsidRPr="004D0F93">
        <w:rPr>
          <w:b/>
        </w:rPr>
        <w:t xml:space="preserve"> ATTACHMENT 1-4</w:t>
      </w:r>
      <w:r w:rsidR="004D0F93" w:rsidRPr="004D0F93">
        <w:t>). For potential indirect effects based on prey lethality for those species without obligate relationships, the exposure that results in a 10% effect for the 5</w:t>
      </w:r>
      <w:r w:rsidR="004D0F93" w:rsidRPr="004D0F93">
        <w:rPr>
          <w:vertAlign w:val="superscript"/>
        </w:rPr>
        <w:t>th</w:t>
      </w:r>
      <w:r w:rsidR="004D0F93" w:rsidRPr="004D0F93">
        <w:t xml:space="preserve"> percentile species on an SSD for the prey species</w:t>
      </w:r>
      <w:r w:rsidR="005760B5">
        <w:t xml:space="preserve"> or the </w:t>
      </w:r>
      <w:r w:rsidR="005760B5" w:rsidRPr="004D0F93">
        <w:t>10% effect</w:t>
      </w:r>
      <w:r w:rsidR="005760B5">
        <w:t xml:space="preserve"> level</w:t>
      </w:r>
      <w:r w:rsidR="005760B5" w:rsidRPr="004D0F93">
        <w:t xml:space="preserve"> for the most sensitive prey species tested </w:t>
      </w:r>
      <w:r w:rsidR="005760B5">
        <w:t>(</w:t>
      </w:r>
      <w:r w:rsidR="002716A0">
        <w:t>i</w:t>
      </w:r>
      <w:r w:rsidR="004D0F93" w:rsidRPr="004D0F93">
        <w:t>f not enough d</w:t>
      </w:r>
      <w:r w:rsidR="005760B5">
        <w:t>ata are available for a SSD) is used</w:t>
      </w:r>
      <w:r w:rsidR="00F97AFB">
        <w:t xml:space="preserve">. </w:t>
      </w:r>
      <w:r w:rsidR="00457E1B" w:rsidRPr="00457E1B">
        <w:t xml:space="preserve">For </w:t>
      </w:r>
      <w:proofErr w:type="spellStart"/>
      <w:r w:rsidR="00457E1B" w:rsidRPr="00457E1B">
        <w:t>sublethal</w:t>
      </w:r>
      <w:proofErr w:type="spellEnd"/>
      <w:r w:rsidR="00457E1B" w:rsidRPr="00457E1B">
        <w:t xml:space="preserve"> effects, the direct effects threshold</w:t>
      </w:r>
      <w:r w:rsidR="00457E1B">
        <w:t xml:space="preserve"> for animals and plants</w:t>
      </w:r>
      <w:r w:rsidR="00457E1B" w:rsidRPr="00457E1B">
        <w:t xml:space="preserve"> is the lowest available NOAEC/NOAEL or other scientifically defensible effect threshold (</w:t>
      </w:r>
      <w:proofErr w:type="spellStart"/>
      <w:r w:rsidR="00457E1B" w:rsidRPr="00457E1B">
        <w:t>EC</w:t>
      </w:r>
      <w:r w:rsidR="00457E1B" w:rsidRPr="00457E1B">
        <w:rPr>
          <w:vertAlign w:val="subscript"/>
        </w:rPr>
        <w:t>x</w:t>
      </w:r>
      <w:proofErr w:type="spellEnd"/>
      <w:r w:rsidR="00457E1B" w:rsidRPr="00457E1B">
        <w:t xml:space="preserve">) that can be linked to survival or reproduction. </w:t>
      </w:r>
      <w:r w:rsidR="00457E1B">
        <w:t xml:space="preserve">For animals, the indirect effects threshold is the </w:t>
      </w:r>
      <w:r w:rsidR="00457E1B" w:rsidRPr="00457E1B">
        <w:t xml:space="preserve">LOAEC/LOAEL for growth or reproduction </w:t>
      </w:r>
      <w:r w:rsidR="00457E1B">
        <w:t>for relevant taxa.</w:t>
      </w:r>
      <w:r w:rsidR="003D63A9">
        <w:t xml:space="preserve">  For plants and indirect effects, the threshold is </w:t>
      </w:r>
      <w:r w:rsidR="00457E1B" w:rsidRPr="00457E1B">
        <w:t xml:space="preserve">the lowest available LOAEC </w:t>
      </w:r>
      <w:r w:rsidR="003D63A9">
        <w:t>or</w:t>
      </w:r>
      <w:r w:rsidR="00457E1B" w:rsidRPr="00457E1B">
        <w:t xml:space="preserve"> EC</w:t>
      </w:r>
      <w:r w:rsidR="003D63A9">
        <w:rPr>
          <w:vertAlign w:val="subscript"/>
        </w:rPr>
        <w:t>50</w:t>
      </w:r>
      <w:r w:rsidR="00457E1B" w:rsidRPr="00457E1B">
        <w:t xml:space="preserve"> </w:t>
      </w:r>
      <w:r w:rsidR="003D63A9">
        <w:t>value (aquatic plants) and the lowest LOAEC or</w:t>
      </w:r>
      <w:r w:rsidR="003D63A9" w:rsidRPr="003D63A9">
        <w:t xml:space="preserve"> EC</w:t>
      </w:r>
      <w:r w:rsidR="003D63A9" w:rsidRPr="003D63A9">
        <w:rPr>
          <w:vertAlign w:val="subscript"/>
        </w:rPr>
        <w:t>25</w:t>
      </w:r>
      <w:r w:rsidR="003D63A9" w:rsidRPr="003D63A9">
        <w:t xml:space="preserve"> value</w:t>
      </w:r>
      <w:r w:rsidR="003D63A9">
        <w:t xml:space="preserve"> (terrestrial and wetland plants).</w:t>
      </w:r>
      <w:r w:rsidR="00C21087" w:rsidRPr="00C21087">
        <w:t xml:space="preserve"> </w:t>
      </w:r>
      <w:r w:rsidR="00C21087">
        <w:t xml:space="preserve">These thresholds are used with other available data </w:t>
      </w:r>
      <w:r w:rsidR="00B14E21">
        <w:t>in a</w:t>
      </w:r>
      <w:r w:rsidR="00C21087" w:rsidRPr="00C21087">
        <w:t xml:space="preserve"> weight-of-evidence </w:t>
      </w:r>
      <w:r w:rsidR="00B14E21">
        <w:t>(</w:t>
      </w:r>
      <w:proofErr w:type="spellStart"/>
      <w:r w:rsidR="00B14E21">
        <w:t>WoE</w:t>
      </w:r>
      <w:proofErr w:type="spellEnd"/>
      <w:r w:rsidR="00B14E21">
        <w:t>) approach</w:t>
      </w:r>
      <w:r w:rsidR="00890ADD">
        <w:t xml:space="preserve"> which </w:t>
      </w:r>
      <w:r w:rsidR="00073594">
        <w:rPr>
          <w:rFonts w:ascii="Calibri" w:eastAsia="Calibri" w:hAnsi="Calibri" w:cs="Calibri"/>
          <w:color w:val="000000"/>
        </w:rPr>
        <w:t>integra</w:t>
      </w:r>
      <w:r w:rsidR="007F332A">
        <w:rPr>
          <w:rFonts w:ascii="Calibri" w:eastAsia="Calibri" w:hAnsi="Calibri" w:cs="Calibri"/>
          <w:color w:val="000000"/>
        </w:rPr>
        <w:t xml:space="preserve">tes the body of evidence that is </w:t>
      </w:r>
      <w:r w:rsidR="00A048A0">
        <w:rPr>
          <w:rFonts w:ascii="Calibri" w:eastAsia="Calibri" w:hAnsi="Calibri" w:cs="Calibri"/>
          <w:color w:val="000000"/>
        </w:rPr>
        <w:t xml:space="preserve">available for making an effects </w:t>
      </w:r>
      <w:r w:rsidR="00073594">
        <w:rPr>
          <w:rFonts w:ascii="Calibri" w:eastAsia="Calibri" w:hAnsi="Calibri" w:cs="Calibri"/>
          <w:color w:val="000000"/>
        </w:rPr>
        <w:t xml:space="preserve">determination. </w:t>
      </w:r>
      <w:r w:rsidR="007B79A6">
        <w:rPr>
          <w:rFonts w:ascii="Calibri" w:eastAsia="Calibri" w:hAnsi="Calibri" w:cs="Calibri"/>
          <w:color w:val="000000"/>
        </w:rPr>
        <w:t xml:space="preserve"> </w:t>
      </w:r>
      <w:r w:rsidR="00073594">
        <w:rPr>
          <w:rFonts w:ascii="Calibri" w:eastAsia="Calibri" w:hAnsi="Calibri" w:cs="Calibri"/>
          <w:color w:val="000000"/>
        </w:rPr>
        <w:t xml:space="preserve">For the exposure assessment, the overlap of species </w:t>
      </w:r>
      <w:proofErr w:type="gramStart"/>
      <w:r w:rsidR="00073594">
        <w:rPr>
          <w:rFonts w:ascii="Calibri" w:eastAsia="Calibri" w:hAnsi="Calibri" w:cs="Calibri"/>
          <w:color w:val="000000"/>
        </w:rPr>
        <w:t>range</w:t>
      </w:r>
      <w:proofErr w:type="gramEnd"/>
      <w:r w:rsidR="00073594">
        <w:rPr>
          <w:rFonts w:ascii="Calibri" w:eastAsia="Calibri" w:hAnsi="Calibri" w:cs="Calibri"/>
          <w:color w:val="000000"/>
        </w:rPr>
        <w:t xml:space="preserve"> and </w:t>
      </w:r>
      <w:r w:rsidR="00C8016A">
        <w:rPr>
          <w:rFonts w:ascii="Calibri" w:eastAsia="Calibri" w:hAnsi="Calibri" w:cs="Calibri"/>
          <w:color w:val="000000"/>
        </w:rPr>
        <w:t>action area</w:t>
      </w:r>
      <w:r w:rsidR="00073594">
        <w:rPr>
          <w:rFonts w:ascii="Calibri" w:eastAsia="Calibri" w:hAnsi="Calibri" w:cs="Calibri"/>
          <w:color w:val="000000"/>
        </w:rPr>
        <w:t>, the relevance of predictive models to</w:t>
      </w:r>
      <w:r w:rsidR="003C6E81">
        <w:rPr>
          <w:rFonts w:ascii="Calibri" w:eastAsia="Calibri" w:hAnsi="Calibri" w:cs="Calibri"/>
          <w:color w:val="000000"/>
        </w:rPr>
        <w:t xml:space="preserve"> </w:t>
      </w:r>
      <w:r w:rsidR="00073594">
        <w:rPr>
          <w:rFonts w:ascii="Calibri" w:eastAsia="Calibri" w:hAnsi="Calibri" w:cs="Calibri"/>
          <w:color w:val="000000"/>
        </w:rPr>
        <w:t>simulate EECs, the quality of fate data for exposure modeling and monitoring data that may be available</w:t>
      </w:r>
      <w:r w:rsidR="007B79A6">
        <w:rPr>
          <w:rFonts w:ascii="Calibri" w:eastAsia="Calibri" w:hAnsi="Calibri" w:cs="Calibri"/>
          <w:color w:val="000000"/>
        </w:rPr>
        <w:t xml:space="preserve"> are considered</w:t>
      </w:r>
      <w:r w:rsidR="00073594">
        <w:rPr>
          <w:rFonts w:ascii="Calibri" w:eastAsia="Calibri" w:hAnsi="Calibri" w:cs="Calibri"/>
          <w:color w:val="000000"/>
        </w:rPr>
        <w:t xml:space="preserve">. For the effects analysis, </w:t>
      </w:r>
      <w:r w:rsidR="00A048A0">
        <w:rPr>
          <w:rFonts w:ascii="Calibri" w:eastAsia="Calibri" w:hAnsi="Calibri" w:cs="Calibri"/>
          <w:color w:val="000000"/>
        </w:rPr>
        <w:t xml:space="preserve">the number of studies and/or species tested in the available toxicity data, </w:t>
      </w:r>
      <w:r w:rsidR="007B79A6">
        <w:rPr>
          <w:rFonts w:ascii="Calibri" w:eastAsia="Calibri" w:hAnsi="Calibri" w:cs="Calibri"/>
          <w:color w:val="000000"/>
        </w:rPr>
        <w:t>taxonomic surrogacy</w:t>
      </w:r>
      <w:r w:rsidR="00A048A0">
        <w:rPr>
          <w:rFonts w:ascii="Calibri" w:eastAsia="Calibri" w:hAnsi="Calibri" w:cs="Calibri"/>
          <w:color w:val="000000"/>
        </w:rPr>
        <w:t>,</w:t>
      </w:r>
      <w:r w:rsidR="007B79A6">
        <w:rPr>
          <w:rFonts w:ascii="Calibri" w:eastAsia="Calibri" w:hAnsi="Calibri" w:cs="Calibri"/>
          <w:color w:val="000000"/>
        </w:rPr>
        <w:t xml:space="preserve"> </w:t>
      </w:r>
      <w:r w:rsidR="00A048A0">
        <w:rPr>
          <w:rFonts w:ascii="Calibri" w:eastAsia="Calibri" w:hAnsi="Calibri" w:cs="Calibri"/>
          <w:color w:val="000000"/>
        </w:rPr>
        <w:t>the magnitude and/or types of effects observed</w:t>
      </w:r>
      <w:r w:rsidR="007B79A6">
        <w:rPr>
          <w:rFonts w:ascii="Calibri" w:eastAsia="Calibri" w:hAnsi="Calibri" w:cs="Calibri"/>
          <w:color w:val="000000"/>
        </w:rPr>
        <w:t>, and incident data are considered</w:t>
      </w:r>
      <w:r w:rsidR="00A048A0">
        <w:rPr>
          <w:rFonts w:ascii="Calibri" w:eastAsia="Calibri" w:hAnsi="Calibri" w:cs="Calibri"/>
          <w:color w:val="000000"/>
        </w:rPr>
        <w:t xml:space="preserve">. </w:t>
      </w:r>
      <w:r w:rsidR="007B79A6">
        <w:rPr>
          <w:rFonts w:ascii="Calibri" w:eastAsia="Calibri" w:hAnsi="Calibri" w:cs="Calibri"/>
          <w:color w:val="000000"/>
        </w:rPr>
        <w:t>A</w:t>
      </w:r>
      <w:r w:rsidR="00B14E21" w:rsidRPr="00B14E21">
        <w:t>n overall risk finding (high, medium, low) and a finding on the overall confidence (high, medium, low) in the available exposure and effects data is made for each line of evidence to inform the effect determinations for listed species and critical habitat</w:t>
      </w:r>
      <w:r w:rsidR="007655CF">
        <w:t xml:space="preserve">s (see </w:t>
      </w:r>
      <w:r w:rsidR="007B79A6" w:rsidRPr="007B79A6">
        <w:rPr>
          <w:b/>
        </w:rPr>
        <w:t>ATTACHMENT 1-9</w:t>
      </w:r>
      <w:r w:rsidR="007655CF">
        <w:t xml:space="preserve">). </w:t>
      </w:r>
    </w:p>
    <w:p w14:paraId="46BB1E14" w14:textId="4552B105" w:rsidR="003873C0" w:rsidRDefault="006E289F" w:rsidP="00457E1B">
      <w:r>
        <w:t xml:space="preserve"> </w:t>
      </w:r>
      <w:r w:rsidR="003873C0">
        <w:t xml:space="preserve"> </w:t>
      </w:r>
    </w:p>
    <w:p w14:paraId="3FD86019" w14:textId="4346ECDF" w:rsidR="007655CF" w:rsidRDefault="007655CF" w:rsidP="00457E1B">
      <w:pPr>
        <w:rPr>
          <w:b/>
        </w:rPr>
      </w:pPr>
      <w:r w:rsidRPr="007B79A6">
        <w:rPr>
          <w:b/>
        </w:rPr>
        <w:t xml:space="preserve">Effects Determinations Summary </w:t>
      </w:r>
    </w:p>
    <w:p w14:paraId="1134CF2E" w14:textId="77777777" w:rsidR="007655CF" w:rsidRPr="007B79A6" w:rsidRDefault="007655CF" w:rsidP="00457E1B">
      <w:pPr>
        <w:rPr>
          <w:b/>
        </w:rPr>
      </w:pPr>
    </w:p>
    <w:p w14:paraId="315A2C5E" w14:textId="23AE25B4" w:rsidR="002D2A52" w:rsidRDefault="00225062" w:rsidP="002D2A52">
      <w:r w:rsidRPr="00225062">
        <w:t xml:space="preserve">Because of the multitude of uses and use patterns for </w:t>
      </w:r>
      <w:r w:rsidR="000A6E22">
        <w:t>malathion</w:t>
      </w:r>
      <w:r w:rsidRPr="00225062">
        <w:t xml:space="preserve"> (including </w:t>
      </w:r>
      <w:r w:rsidR="00AB42AB">
        <w:t>the</w:t>
      </w:r>
      <w:r w:rsidRPr="00225062">
        <w:t xml:space="preserve"> mosquito </w:t>
      </w:r>
      <w:proofErr w:type="spellStart"/>
      <w:r w:rsidRPr="00225062">
        <w:t>adulticide</w:t>
      </w:r>
      <w:proofErr w:type="spellEnd"/>
      <w:r w:rsidRPr="00225062">
        <w:t xml:space="preserve"> use), the action area for </w:t>
      </w:r>
      <w:r w:rsidR="000A6E22">
        <w:t>malathion</w:t>
      </w:r>
      <w:r w:rsidRPr="00225062">
        <w:t xml:space="preserve"> covers the entire US, including its territories.</w:t>
      </w:r>
      <w:r>
        <w:t xml:space="preserve">  </w:t>
      </w:r>
      <w:r w:rsidR="002D2A52">
        <w:t xml:space="preserve">Therefore, all of the listed species ranges and critical habitats overlap with the action area and the “no effect” determinations largely involve species that are believed to be </w:t>
      </w:r>
      <w:r w:rsidR="002D2A52" w:rsidRPr="002D2A52">
        <w:t>extinct (or extirpated from specific geographic areas) in USFWS documents and referenced in EPA species repo</w:t>
      </w:r>
      <w:r w:rsidR="002D2A52">
        <w:t xml:space="preserve">rts, but have not yet been delisted. </w:t>
      </w:r>
    </w:p>
    <w:p w14:paraId="1C84720F" w14:textId="77777777" w:rsidR="00CB23DA" w:rsidRDefault="00CB23DA"/>
    <w:p w14:paraId="2A5230E4" w14:textId="45277B64" w:rsidR="00B85C2A" w:rsidRDefault="00FA58A7" w:rsidP="00206309">
      <w:r>
        <w:t xml:space="preserve">For </w:t>
      </w:r>
      <w:r w:rsidR="000A6E22">
        <w:t>malathion</w:t>
      </w:r>
      <w:r>
        <w:t xml:space="preserve">, </w:t>
      </w:r>
      <w:r w:rsidR="00B85C2A">
        <w:t>the results of the Step 1 (‘</w:t>
      </w:r>
      <w:r w:rsidR="00B85C2A" w:rsidRPr="0071784E">
        <w:rPr>
          <w:b/>
        </w:rPr>
        <w:t>No Effect</w:t>
      </w:r>
      <w:r w:rsidR="00B85C2A">
        <w:t>’ (NE) or ‘</w:t>
      </w:r>
      <w:r w:rsidR="00B85C2A" w:rsidRPr="0071784E">
        <w:rPr>
          <w:b/>
        </w:rPr>
        <w:t>May Affect</w:t>
      </w:r>
      <w:r w:rsidR="00B85C2A">
        <w:t>’ determinations) and Step 2 (</w:t>
      </w:r>
      <w:r w:rsidR="00B85C2A" w:rsidRPr="00206309">
        <w:t>‘</w:t>
      </w:r>
      <w:r w:rsidR="00B85C2A">
        <w:rPr>
          <w:b/>
        </w:rPr>
        <w:t>Not Likely to Adversely Affect</w:t>
      </w:r>
      <w:r w:rsidR="00B85C2A" w:rsidRPr="00206309">
        <w:t xml:space="preserve">’ </w:t>
      </w:r>
      <w:r w:rsidR="00B85C2A">
        <w:t xml:space="preserve">(NLAA) or </w:t>
      </w:r>
      <w:r w:rsidR="00B85C2A" w:rsidRPr="00206309">
        <w:t>‘</w:t>
      </w:r>
      <w:r w:rsidR="00B85C2A">
        <w:rPr>
          <w:b/>
        </w:rPr>
        <w:t>Likely to Adversely Affect</w:t>
      </w:r>
      <w:r w:rsidR="00B85C2A" w:rsidRPr="00206309">
        <w:t xml:space="preserve">’ </w:t>
      </w:r>
      <w:r w:rsidR="00B85C2A">
        <w:t>(LAA) determinations)</w:t>
      </w:r>
      <w:r w:rsidR="00DE0400">
        <w:t xml:space="preserve"> for species and designated critical habitats</w:t>
      </w:r>
      <w:r w:rsidR="00B85C2A">
        <w:t xml:space="preserve"> are presented in </w:t>
      </w:r>
      <w:r w:rsidR="00CB23DA" w:rsidRPr="00E61DA7">
        <w:rPr>
          <w:b/>
        </w:rPr>
        <w:t>Table</w:t>
      </w:r>
      <w:r w:rsidR="00DE0400">
        <w:rPr>
          <w:b/>
        </w:rPr>
        <w:t>s</w:t>
      </w:r>
      <w:r w:rsidR="00CB23DA" w:rsidRPr="00E61DA7">
        <w:rPr>
          <w:b/>
        </w:rPr>
        <w:t xml:space="preserve"> </w:t>
      </w:r>
      <w:r w:rsidR="0071784E" w:rsidRPr="00E61DA7">
        <w:rPr>
          <w:b/>
        </w:rPr>
        <w:t>1</w:t>
      </w:r>
      <w:r w:rsidR="00DE0400">
        <w:rPr>
          <w:b/>
        </w:rPr>
        <w:t xml:space="preserve"> </w:t>
      </w:r>
      <w:r w:rsidR="00DE0400" w:rsidRPr="00DE0400">
        <w:t>and</w:t>
      </w:r>
      <w:r w:rsidR="00DE0400">
        <w:rPr>
          <w:b/>
        </w:rPr>
        <w:t xml:space="preserve"> 2, </w:t>
      </w:r>
      <w:r w:rsidR="00DE0400" w:rsidRPr="00DE0400">
        <w:t>respectively</w:t>
      </w:r>
      <w:r w:rsidR="00B85C2A" w:rsidRPr="00DE0400">
        <w:t>.</w:t>
      </w:r>
      <w:r w:rsidR="00B85C2A" w:rsidRPr="00B85C2A">
        <w:t xml:space="preserve"> </w:t>
      </w:r>
      <w:r w:rsidR="00B85C2A">
        <w:t xml:space="preserve">For species/critical habitats with a NE determination in Step 1, no additional analyses are conducted (they do not proceed to Step 2).  </w:t>
      </w:r>
      <w:r w:rsidR="00B85C2A" w:rsidRPr="00206309">
        <w:t xml:space="preserve">For </w:t>
      </w:r>
      <w:r w:rsidR="000A6E22">
        <w:t>malathion</w:t>
      </w:r>
      <w:r w:rsidR="00B85C2A" w:rsidRPr="00206309">
        <w:t xml:space="preserve">, </w:t>
      </w:r>
      <w:r w:rsidR="00B85C2A">
        <w:t>all of the uses and use patterns modeled, result in threshold exceedances for most taxa.</w:t>
      </w:r>
      <w:r w:rsidR="0071784E" w:rsidRPr="0071784E">
        <w:t xml:space="preserve"> </w:t>
      </w:r>
      <w:r w:rsidR="0071784E">
        <w:t xml:space="preserve">For species/critical habitats with NLAA determinations, they will be sent to the Services for concurrence.  For species/critical habitats with a LAA determination, </w:t>
      </w:r>
      <w:r w:rsidR="0071784E" w:rsidRPr="003B2CCB">
        <w:t xml:space="preserve">additional analyses </w:t>
      </w:r>
      <w:r w:rsidR="0071784E">
        <w:t>will be</w:t>
      </w:r>
      <w:r w:rsidR="0071784E" w:rsidRPr="003B2CCB">
        <w:t xml:space="preserve"> conducted (</w:t>
      </w:r>
      <w:r w:rsidR="0071784E" w:rsidRPr="003B2CCB">
        <w:rPr>
          <w:i/>
        </w:rPr>
        <w:t>i.e</w:t>
      </w:r>
      <w:r w:rsidR="0071784E" w:rsidRPr="003B2CCB">
        <w:t xml:space="preserve">., they </w:t>
      </w:r>
      <w:r w:rsidR="0071784E">
        <w:t>proceed</w:t>
      </w:r>
      <w:r w:rsidR="0071784E" w:rsidRPr="003B2CCB">
        <w:t xml:space="preserve"> to St</w:t>
      </w:r>
      <w:r w:rsidR="0071784E">
        <w:t>ep 3</w:t>
      </w:r>
      <w:r w:rsidR="0071784E" w:rsidRPr="003B2CCB">
        <w:t>).</w:t>
      </w:r>
    </w:p>
    <w:p w14:paraId="7B37DA96" w14:textId="77777777" w:rsidR="00C13650" w:rsidRDefault="00C13650" w:rsidP="00C13650">
      <w:pPr>
        <w:rPr>
          <w:b/>
        </w:rPr>
      </w:pPr>
    </w:p>
    <w:p w14:paraId="4E21AF28" w14:textId="77777777" w:rsidR="00335D48" w:rsidRDefault="00335D48" w:rsidP="00C13650">
      <w:pPr>
        <w:rPr>
          <w:b/>
        </w:rPr>
      </w:pPr>
    </w:p>
    <w:p w14:paraId="7D497927" w14:textId="77777777" w:rsidR="00335D48" w:rsidRDefault="00335D48" w:rsidP="00C13650">
      <w:pPr>
        <w:rPr>
          <w:b/>
        </w:rPr>
      </w:pPr>
    </w:p>
    <w:p w14:paraId="72B4B40D" w14:textId="6DF505C2" w:rsidR="002F6F7A" w:rsidRDefault="00FB6FC6" w:rsidP="002F6F7A">
      <w:pPr>
        <w:rPr>
          <w:b/>
        </w:rPr>
      </w:pPr>
      <w:r>
        <w:rPr>
          <w:b/>
        </w:rPr>
        <w:lastRenderedPageBreak/>
        <w:t>T</w:t>
      </w:r>
      <w:r w:rsidR="00C13650" w:rsidRPr="00D313BE">
        <w:rPr>
          <w:b/>
        </w:rPr>
        <w:t>A</w:t>
      </w:r>
      <w:r w:rsidR="00872545">
        <w:rPr>
          <w:b/>
        </w:rPr>
        <w:t>BLE 1</w:t>
      </w:r>
      <w:r w:rsidR="00C13650" w:rsidRPr="00D313BE">
        <w:rPr>
          <w:b/>
        </w:rPr>
        <w:t xml:space="preserve">. Summary of </w:t>
      </w:r>
      <w:r w:rsidR="00C13650">
        <w:rPr>
          <w:b/>
        </w:rPr>
        <w:t xml:space="preserve">Species </w:t>
      </w:r>
      <w:r w:rsidR="00C13650" w:rsidRPr="00D313BE">
        <w:rPr>
          <w:b/>
        </w:rPr>
        <w:t xml:space="preserve">Effects Determinations for </w:t>
      </w:r>
      <w:r w:rsidR="000A6E22">
        <w:rPr>
          <w:b/>
        </w:rPr>
        <w:t>Malathion</w:t>
      </w:r>
      <w:r w:rsidR="00C13650" w:rsidRPr="00D313BE">
        <w:rPr>
          <w:b/>
        </w:rPr>
        <w:t xml:space="preserve"> (Counts by Taxon).</w:t>
      </w:r>
    </w:p>
    <w:tbl>
      <w:tblPr>
        <w:tblW w:w="8825" w:type="dxa"/>
        <w:jc w:val="center"/>
        <w:tblLook w:val="04A0" w:firstRow="1" w:lastRow="0" w:firstColumn="1" w:lastColumn="0" w:noHBand="0" w:noVBand="1"/>
      </w:tblPr>
      <w:tblGrid>
        <w:gridCol w:w="2164"/>
        <w:gridCol w:w="929"/>
        <w:gridCol w:w="955"/>
        <w:gridCol w:w="1411"/>
        <w:gridCol w:w="1331"/>
        <w:gridCol w:w="2035"/>
      </w:tblGrid>
      <w:tr w:rsidR="00DC7FF2" w:rsidRPr="00A000DB" w14:paraId="7DD674B7" w14:textId="77777777" w:rsidTr="00015CE5">
        <w:trPr>
          <w:trHeight w:val="300"/>
          <w:jc w:val="center"/>
        </w:trPr>
        <w:tc>
          <w:tcPr>
            <w:tcW w:w="2164" w:type="dxa"/>
            <w:vMerge w:val="restart"/>
            <w:tcBorders>
              <w:top w:val="single" w:sz="4" w:space="0" w:color="auto"/>
              <w:left w:val="single" w:sz="4" w:space="0" w:color="auto"/>
              <w:right w:val="single" w:sz="4" w:space="0" w:color="auto"/>
            </w:tcBorders>
            <w:shd w:val="clear" w:color="000000" w:fill="D9D9D9"/>
            <w:noWrap/>
            <w:vAlign w:val="center"/>
            <w:hideMark/>
          </w:tcPr>
          <w:p w14:paraId="23257A50" w14:textId="77777777" w:rsidR="00DC7FF2" w:rsidRPr="00A000DB" w:rsidRDefault="00DC7FF2" w:rsidP="00015CE5">
            <w:pPr>
              <w:jc w:val="center"/>
              <w:rPr>
                <w:rFonts w:ascii="Calibri" w:hAnsi="Calibri"/>
                <w:b/>
              </w:rPr>
            </w:pPr>
            <w:r w:rsidRPr="00A000DB">
              <w:rPr>
                <w:rFonts w:ascii="Calibri" w:hAnsi="Calibri"/>
                <w:b/>
              </w:rPr>
              <w:t>TAXON</w:t>
            </w:r>
          </w:p>
        </w:tc>
        <w:tc>
          <w:tcPr>
            <w:tcW w:w="1884" w:type="dxa"/>
            <w:gridSpan w:val="2"/>
            <w:tcBorders>
              <w:top w:val="single" w:sz="4" w:space="0" w:color="auto"/>
              <w:left w:val="nil"/>
              <w:bottom w:val="single" w:sz="4" w:space="0" w:color="auto"/>
              <w:right w:val="nil"/>
            </w:tcBorders>
            <w:shd w:val="clear" w:color="000000" w:fill="D9D9D9"/>
            <w:vAlign w:val="center"/>
          </w:tcPr>
          <w:p w14:paraId="6FD218DD" w14:textId="77777777" w:rsidR="00DC7FF2" w:rsidRPr="00A000DB" w:rsidRDefault="00DC7FF2" w:rsidP="00015CE5">
            <w:pPr>
              <w:jc w:val="center"/>
              <w:rPr>
                <w:rFonts w:ascii="Calibri" w:hAnsi="Calibri"/>
              </w:rPr>
            </w:pPr>
            <w:r w:rsidRPr="00A000DB">
              <w:rPr>
                <w:rFonts w:ascii="Calibri" w:hAnsi="Calibri"/>
                <w:b/>
              </w:rPr>
              <w:t>STEP 1 EFFECTS DETERMINATION</w:t>
            </w:r>
          </w:p>
        </w:tc>
        <w:tc>
          <w:tcPr>
            <w:tcW w:w="2742"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6A10D343" w14:textId="77777777" w:rsidR="00DC7FF2" w:rsidRPr="00A000DB" w:rsidRDefault="00DC7FF2" w:rsidP="00015CE5">
            <w:pPr>
              <w:jc w:val="center"/>
              <w:rPr>
                <w:rFonts w:ascii="Calibri" w:hAnsi="Calibri"/>
              </w:rPr>
            </w:pPr>
            <w:r w:rsidRPr="00A000DB">
              <w:rPr>
                <w:rFonts w:ascii="Calibri" w:hAnsi="Calibri"/>
                <w:b/>
              </w:rPr>
              <w:t>STEP 2 EFFECTS DETERMINATIONS</w:t>
            </w:r>
          </w:p>
        </w:tc>
        <w:tc>
          <w:tcPr>
            <w:tcW w:w="2035" w:type="dxa"/>
            <w:vMerge w:val="restart"/>
            <w:tcBorders>
              <w:top w:val="single" w:sz="4" w:space="0" w:color="auto"/>
              <w:left w:val="nil"/>
              <w:right w:val="single" w:sz="4" w:space="0" w:color="auto"/>
            </w:tcBorders>
            <w:shd w:val="clear" w:color="000000" w:fill="D9D9D9"/>
            <w:noWrap/>
            <w:vAlign w:val="center"/>
            <w:hideMark/>
          </w:tcPr>
          <w:p w14:paraId="2285B0A5" w14:textId="77777777" w:rsidR="00DC7FF2" w:rsidRPr="00A000DB" w:rsidRDefault="00DC7FF2" w:rsidP="00015CE5">
            <w:pPr>
              <w:jc w:val="center"/>
              <w:rPr>
                <w:rFonts w:ascii="Calibri" w:hAnsi="Calibri"/>
                <w:b/>
              </w:rPr>
            </w:pPr>
            <w:r w:rsidRPr="00A000DB">
              <w:rPr>
                <w:rFonts w:ascii="Calibri" w:hAnsi="Calibri"/>
                <w:b/>
              </w:rPr>
              <w:t>Totals</w:t>
            </w:r>
          </w:p>
        </w:tc>
      </w:tr>
      <w:tr w:rsidR="00DC7FF2" w:rsidRPr="00A000DB" w14:paraId="244B492E" w14:textId="77777777" w:rsidTr="00015CE5">
        <w:trPr>
          <w:trHeight w:val="300"/>
          <w:jc w:val="center"/>
        </w:trPr>
        <w:tc>
          <w:tcPr>
            <w:tcW w:w="2164" w:type="dxa"/>
            <w:vMerge/>
            <w:tcBorders>
              <w:left w:val="single" w:sz="4" w:space="0" w:color="auto"/>
              <w:bottom w:val="single" w:sz="4" w:space="0" w:color="auto"/>
              <w:right w:val="single" w:sz="4" w:space="0" w:color="auto"/>
            </w:tcBorders>
            <w:shd w:val="clear" w:color="000000" w:fill="D9D9D9"/>
            <w:noWrap/>
            <w:vAlign w:val="center"/>
          </w:tcPr>
          <w:p w14:paraId="27489B53" w14:textId="77777777" w:rsidR="00DC7FF2" w:rsidRPr="00A000DB" w:rsidRDefault="00DC7FF2" w:rsidP="00015CE5">
            <w:pPr>
              <w:rPr>
                <w:rFonts w:ascii="Calibri" w:hAnsi="Calibri"/>
              </w:rPr>
            </w:pPr>
          </w:p>
        </w:tc>
        <w:tc>
          <w:tcPr>
            <w:tcW w:w="929" w:type="dxa"/>
            <w:tcBorders>
              <w:top w:val="single" w:sz="4" w:space="0" w:color="auto"/>
              <w:left w:val="single" w:sz="4" w:space="0" w:color="auto"/>
              <w:bottom w:val="single" w:sz="4" w:space="0" w:color="auto"/>
              <w:right w:val="single" w:sz="4" w:space="0" w:color="auto"/>
            </w:tcBorders>
            <w:shd w:val="clear" w:color="000000" w:fill="D9D9D9"/>
            <w:vAlign w:val="center"/>
          </w:tcPr>
          <w:p w14:paraId="277B88F5" w14:textId="77777777" w:rsidR="00DC7FF2" w:rsidRPr="00A000DB" w:rsidRDefault="00DC7FF2" w:rsidP="00015CE5">
            <w:pPr>
              <w:jc w:val="center"/>
              <w:rPr>
                <w:rFonts w:ascii="Calibri" w:hAnsi="Calibri"/>
              </w:rPr>
            </w:pPr>
            <w:r w:rsidRPr="00A000DB">
              <w:rPr>
                <w:rFonts w:ascii="Calibri" w:hAnsi="Calibri"/>
                <w:b/>
              </w:rPr>
              <w:t>NO EFFECT</w:t>
            </w:r>
          </w:p>
        </w:tc>
        <w:tc>
          <w:tcPr>
            <w:tcW w:w="955" w:type="dxa"/>
            <w:tcBorders>
              <w:top w:val="single" w:sz="4" w:space="0" w:color="auto"/>
              <w:left w:val="single" w:sz="4" w:space="0" w:color="auto"/>
              <w:bottom w:val="single" w:sz="4" w:space="0" w:color="auto"/>
              <w:right w:val="single" w:sz="4" w:space="0" w:color="auto"/>
            </w:tcBorders>
            <w:shd w:val="clear" w:color="000000" w:fill="D9D9D9"/>
            <w:vAlign w:val="center"/>
          </w:tcPr>
          <w:p w14:paraId="4941F59F" w14:textId="77777777" w:rsidR="00DC7FF2" w:rsidRPr="00A000DB" w:rsidRDefault="00DC7FF2" w:rsidP="00015CE5">
            <w:pPr>
              <w:jc w:val="center"/>
              <w:rPr>
                <w:rFonts w:ascii="Calibri" w:hAnsi="Calibri"/>
              </w:rPr>
            </w:pPr>
            <w:r w:rsidRPr="00A000DB">
              <w:rPr>
                <w:rFonts w:ascii="Calibri" w:hAnsi="Calibri"/>
                <w:b/>
              </w:rPr>
              <w:t>MAY AFFECT</w:t>
            </w:r>
          </w:p>
        </w:tc>
        <w:tc>
          <w:tcPr>
            <w:tcW w:w="1411"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0278ADB5" w14:textId="77777777" w:rsidR="00DC7FF2" w:rsidRPr="00A000DB" w:rsidRDefault="00DC7FF2" w:rsidP="00015CE5">
            <w:pPr>
              <w:jc w:val="center"/>
              <w:rPr>
                <w:rFonts w:ascii="Calibri" w:hAnsi="Calibri"/>
              </w:rPr>
            </w:pPr>
            <w:r w:rsidRPr="00A000DB">
              <w:rPr>
                <w:rFonts w:ascii="Calibri" w:hAnsi="Calibri"/>
                <w:b/>
              </w:rPr>
              <w:t>NOT LIKELY TO ADVERSLY AFFECT</w:t>
            </w:r>
          </w:p>
        </w:tc>
        <w:tc>
          <w:tcPr>
            <w:tcW w:w="1331"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6AAC9D2B" w14:textId="77777777" w:rsidR="00DC7FF2" w:rsidRPr="00A000DB" w:rsidRDefault="00DC7FF2" w:rsidP="00015CE5">
            <w:pPr>
              <w:jc w:val="center"/>
              <w:rPr>
                <w:rFonts w:ascii="Calibri" w:hAnsi="Calibri"/>
              </w:rPr>
            </w:pPr>
            <w:r w:rsidRPr="00A000DB">
              <w:rPr>
                <w:rFonts w:ascii="Calibri" w:hAnsi="Calibri"/>
                <w:b/>
              </w:rPr>
              <w:t>LIKELY TO ADVERSELY AFFECT</w:t>
            </w:r>
          </w:p>
        </w:tc>
        <w:tc>
          <w:tcPr>
            <w:tcW w:w="2035" w:type="dxa"/>
            <w:vMerge/>
            <w:tcBorders>
              <w:left w:val="nil"/>
              <w:bottom w:val="single" w:sz="4" w:space="0" w:color="auto"/>
              <w:right w:val="single" w:sz="4" w:space="0" w:color="auto"/>
            </w:tcBorders>
            <w:shd w:val="clear" w:color="000000" w:fill="D9D9D9"/>
            <w:noWrap/>
            <w:vAlign w:val="center"/>
          </w:tcPr>
          <w:p w14:paraId="7B165F19" w14:textId="77777777" w:rsidR="00DC7FF2" w:rsidRPr="00A000DB" w:rsidRDefault="00DC7FF2" w:rsidP="00015CE5">
            <w:pPr>
              <w:jc w:val="center"/>
              <w:rPr>
                <w:rFonts w:ascii="Calibri" w:hAnsi="Calibri"/>
              </w:rPr>
            </w:pPr>
          </w:p>
        </w:tc>
      </w:tr>
      <w:tr w:rsidR="00DC7FF2" w:rsidRPr="00A000DB" w14:paraId="687C3082"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7743305E" w14:textId="77777777" w:rsidR="00DC7FF2" w:rsidRPr="00A000DB" w:rsidRDefault="00DC7FF2" w:rsidP="00015CE5">
            <w:pPr>
              <w:rPr>
                <w:rFonts w:ascii="Calibri" w:hAnsi="Calibri"/>
              </w:rPr>
            </w:pPr>
            <w:r>
              <w:rPr>
                <w:rFonts w:ascii="Calibri" w:hAnsi="Calibri"/>
              </w:rPr>
              <w:t>Amphibians</w:t>
            </w:r>
          </w:p>
        </w:tc>
        <w:tc>
          <w:tcPr>
            <w:tcW w:w="929" w:type="dxa"/>
            <w:tcBorders>
              <w:top w:val="nil"/>
              <w:left w:val="nil"/>
              <w:bottom w:val="single" w:sz="8" w:space="0" w:color="auto"/>
              <w:right w:val="single" w:sz="8" w:space="0" w:color="auto"/>
            </w:tcBorders>
            <w:shd w:val="clear" w:color="auto" w:fill="auto"/>
            <w:vAlign w:val="center"/>
          </w:tcPr>
          <w:p w14:paraId="67A36B00" w14:textId="77777777" w:rsidR="00DC7FF2" w:rsidRPr="00A000DB" w:rsidRDefault="00DC7FF2" w:rsidP="00015CE5">
            <w:pPr>
              <w:jc w:val="center"/>
              <w:rPr>
                <w:rFonts w:ascii="Calibri" w:hAnsi="Calibri"/>
              </w:rPr>
            </w:pPr>
            <w:r>
              <w:rPr>
                <w:rFonts w:ascii="Calibri" w:hAnsi="Calibri"/>
              </w:rPr>
              <w:t>0</w:t>
            </w:r>
          </w:p>
        </w:tc>
        <w:tc>
          <w:tcPr>
            <w:tcW w:w="955" w:type="dxa"/>
            <w:tcBorders>
              <w:top w:val="nil"/>
              <w:left w:val="nil"/>
              <w:bottom w:val="single" w:sz="8" w:space="0" w:color="auto"/>
              <w:right w:val="single" w:sz="8" w:space="0" w:color="auto"/>
            </w:tcBorders>
            <w:shd w:val="clear" w:color="auto" w:fill="auto"/>
            <w:vAlign w:val="center"/>
          </w:tcPr>
          <w:p w14:paraId="034CCBBA" w14:textId="77777777" w:rsidR="00DC7FF2" w:rsidRPr="00A000DB" w:rsidRDefault="00DC7FF2" w:rsidP="00015CE5">
            <w:pPr>
              <w:jc w:val="center"/>
              <w:rPr>
                <w:rFonts w:ascii="Calibri" w:hAnsi="Calibri"/>
              </w:rPr>
            </w:pPr>
            <w:r>
              <w:rPr>
                <w:rFonts w:ascii="Calibri" w:hAnsi="Calibri"/>
              </w:rPr>
              <w:t>40</w:t>
            </w:r>
          </w:p>
        </w:tc>
        <w:tc>
          <w:tcPr>
            <w:tcW w:w="1411" w:type="dxa"/>
            <w:tcBorders>
              <w:top w:val="nil"/>
              <w:left w:val="nil"/>
              <w:bottom w:val="single" w:sz="8" w:space="0" w:color="auto"/>
              <w:right w:val="single" w:sz="8" w:space="0" w:color="auto"/>
            </w:tcBorders>
            <w:shd w:val="clear" w:color="auto" w:fill="auto"/>
            <w:noWrap/>
            <w:vAlign w:val="center"/>
            <w:hideMark/>
          </w:tcPr>
          <w:p w14:paraId="34304130" w14:textId="77777777" w:rsidR="00DC7FF2" w:rsidRPr="00A000DB" w:rsidRDefault="00DC7FF2" w:rsidP="00015CE5">
            <w:pPr>
              <w:jc w:val="center"/>
              <w:rPr>
                <w:rFonts w:ascii="Calibri" w:hAnsi="Calibri"/>
              </w:rPr>
            </w:pPr>
            <w:r>
              <w:rPr>
                <w:rFonts w:ascii="Calibri" w:hAnsi="Calibri"/>
              </w:rPr>
              <w:t>1</w:t>
            </w:r>
          </w:p>
        </w:tc>
        <w:tc>
          <w:tcPr>
            <w:tcW w:w="1331" w:type="dxa"/>
            <w:tcBorders>
              <w:top w:val="nil"/>
              <w:left w:val="nil"/>
              <w:bottom w:val="single" w:sz="8" w:space="0" w:color="auto"/>
              <w:right w:val="single" w:sz="8" w:space="0" w:color="auto"/>
            </w:tcBorders>
            <w:shd w:val="clear" w:color="auto" w:fill="auto"/>
            <w:noWrap/>
            <w:vAlign w:val="center"/>
            <w:hideMark/>
          </w:tcPr>
          <w:p w14:paraId="3A41A522" w14:textId="77777777" w:rsidR="00DC7FF2" w:rsidRPr="00A000DB" w:rsidRDefault="00DC7FF2" w:rsidP="00015CE5">
            <w:pPr>
              <w:jc w:val="center"/>
              <w:rPr>
                <w:rFonts w:ascii="Calibri" w:hAnsi="Calibri"/>
              </w:rPr>
            </w:pPr>
            <w:r>
              <w:rPr>
                <w:rFonts w:ascii="Calibri" w:hAnsi="Calibri"/>
              </w:rPr>
              <w:t>39</w:t>
            </w:r>
          </w:p>
        </w:tc>
        <w:tc>
          <w:tcPr>
            <w:tcW w:w="2035" w:type="dxa"/>
            <w:tcBorders>
              <w:top w:val="nil"/>
              <w:left w:val="nil"/>
              <w:bottom w:val="single" w:sz="8" w:space="0" w:color="auto"/>
              <w:right w:val="single" w:sz="8" w:space="0" w:color="auto"/>
            </w:tcBorders>
            <w:shd w:val="clear" w:color="auto" w:fill="auto"/>
            <w:noWrap/>
            <w:vAlign w:val="center"/>
            <w:hideMark/>
          </w:tcPr>
          <w:p w14:paraId="0368D9E7" w14:textId="77777777" w:rsidR="00DC7FF2" w:rsidRPr="00A000DB" w:rsidRDefault="00DC7FF2" w:rsidP="00015CE5">
            <w:pPr>
              <w:jc w:val="center"/>
              <w:rPr>
                <w:rFonts w:ascii="Calibri" w:hAnsi="Calibri"/>
              </w:rPr>
            </w:pPr>
            <w:r>
              <w:rPr>
                <w:rFonts w:ascii="Calibri" w:hAnsi="Calibri"/>
              </w:rPr>
              <w:t>40</w:t>
            </w:r>
          </w:p>
        </w:tc>
      </w:tr>
      <w:tr w:rsidR="00DC7FF2" w:rsidRPr="00A000DB" w14:paraId="0D498318"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7F5DD0E7" w14:textId="77777777" w:rsidR="00DC7FF2" w:rsidRPr="00A000DB" w:rsidRDefault="00DC7FF2" w:rsidP="00015CE5">
            <w:pPr>
              <w:rPr>
                <w:rFonts w:ascii="Calibri" w:hAnsi="Calibri"/>
              </w:rPr>
            </w:pPr>
            <w:r>
              <w:rPr>
                <w:rFonts w:ascii="Calibri" w:hAnsi="Calibri"/>
              </w:rPr>
              <w:t>Aquatic Invertebrates</w:t>
            </w:r>
          </w:p>
        </w:tc>
        <w:tc>
          <w:tcPr>
            <w:tcW w:w="929" w:type="dxa"/>
            <w:tcBorders>
              <w:top w:val="nil"/>
              <w:left w:val="nil"/>
              <w:bottom w:val="single" w:sz="8" w:space="0" w:color="auto"/>
              <w:right w:val="single" w:sz="8" w:space="0" w:color="auto"/>
            </w:tcBorders>
            <w:shd w:val="clear" w:color="auto" w:fill="auto"/>
            <w:vAlign w:val="center"/>
          </w:tcPr>
          <w:p w14:paraId="4D241A6A" w14:textId="77777777" w:rsidR="00DC7FF2" w:rsidRPr="00A000DB" w:rsidRDefault="00DC7FF2" w:rsidP="00015CE5">
            <w:pPr>
              <w:jc w:val="center"/>
              <w:rPr>
                <w:rFonts w:ascii="Calibri" w:hAnsi="Calibri"/>
              </w:rPr>
            </w:pPr>
            <w:r>
              <w:rPr>
                <w:rFonts w:ascii="Calibri" w:hAnsi="Calibri"/>
              </w:rPr>
              <w:t>0</w:t>
            </w:r>
          </w:p>
        </w:tc>
        <w:tc>
          <w:tcPr>
            <w:tcW w:w="955" w:type="dxa"/>
            <w:tcBorders>
              <w:top w:val="nil"/>
              <w:left w:val="nil"/>
              <w:bottom w:val="single" w:sz="8" w:space="0" w:color="auto"/>
              <w:right w:val="single" w:sz="8" w:space="0" w:color="auto"/>
            </w:tcBorders>
            <w:shd w:val="clear" w:color="auto" w:fill="auto"/>
            <w:vAlign w:val="center"/>
          </w:tcPr>
          <w:p w14:paraId="7D162EF1" w14:textId="77777777" w:rsidR="00DC7FF2" w:rsidRPr="00A000DB" w:rsidRDefault="00DC7FF2" w:rsidP="00015CE5">
            <w:pPr>
              <w:jc w:val="center"/>
              <w:rPr>
                <w:rFonts w:ascii="Calibri" w:hAnsi="Calibri"/>
              </w:rPr>
            </w:pPr>
            <w:r>
              <w:rPr>
                <w:rFonts w:ascii="Calibri" w:hAnsi="Calibri"/>
              </w:rPr>
              <w:t>220</w:t>
            </w:r>
          </w:p>
        </w:tc>
        <w:tc>
          <w:tcPr>
            <w:tcW w:w="1411" w:type="dxa"/>
            <w:tcBorders>
              <w:top w:val="nil"/>
              <w:left w:val="nil"/>
              <w:bottom w:val="single" w:sz="8" w:space="0" w:color="auto"/>
              <w:right w:val="single" w:sz="8" w:space="0" w:color="auto"/>
            </w:tcBorders>
            <w:shd w:val="clear" w:color="auto" w:fill="auto"/>
            <w:noWrap/>
            <w:vAlign w:val="center"/>
            <w:hideMark/>
          </w:tcPr>
          <w:p w14:paraId="5713DCF8" w14:textId="77777777" w:rsidR="00DC7FF2" w:rsidRPr="00A000DB" w:rsidRDefault="00DC7FF2" w:rsidP="00015CE5">
            <w:pPr>
              <w:jc w:val="center"/>
              <w:rPr>
                <w:rFonts w:ascii="Calibri" w:hAnsi="Calibri"/>
              </w:rPr>
            </w:pPr>
            <w:r>
              <w:rPr>
                <w:rFonts w:ascii="Calibri" w:hAnsi="Calibri"/>
              </w:rPr>
              <w:t>1</w:t>
            </w:r>
          </w:p>
        </w:tc>
        <w:tc>
          <w:tcPr>
            <w:tcW w:w="1331" w:type="dxa"/>
            <w:tcBorders>
              <w:top w:val="nil"/>
              <w:left w:val="nil"/>
              <w:bottom w:val="single" w:sz="8" w:space="0" w:color="auto"/>
              <w:right w:val="single" w:sz="8" w:space="0" w:color="auto"/>
            </w:tcBorders>
            <w:shd w:val="clear" w:color="auto" w:fill="auto"/>
            <w:noWrap/>
            <w:vAlign w:val="center"/>
            <w:hideMark/>
          </w:tcPr>
          <w:p w14:paraId="3010F507" w14:textId="77777777" w:rsidR="00DC7FF2" w:rsidRPr="00A000DB" w:rsidRDefault="00DC7FF2" w:rsidP="00015CE5">
            <w:pPr>
              <w:jc w:val="center"/>
              <w:rPr>
                <w:rFonts w:ascii="Calibri" w:hAnsi="Calibri"/>
              </w:rPr>
            </w:pPr>
            <w:r>
              <w:rPr>
                <w:rFonts w:ascii="Calibri" w:hAnsi="Calibri"/>
              </w:rPr>
              <w:t>219</w:t>
            </w:r>
          </w:p>
        </w:tc>
        <w:tc>
          <w:tcPr>
            <w:tcW w:w="2035" w:type="dxa"/>
            <w:tcBorders>
              <w:top w:val="nil"/>
              <w:left w:val="nil"/>
              <w:bottom w:val="single" w:sz="8" w:space="0" w:color="auto"/>
              <w:right w:val="single" w:sz="8" w:space="0" w:color="auto"/>
            </w:tcBorders>
            <w:shd w:val="clear" w:color="auto" w:fill="auto"/>
            <w:noWrap/>
            <w:vAlign w:val="center"/>
            <w:hideMark/>
          </w:tcPr>
          <w:p w14:paraId="1594ECB4" w14:textId="77777777" w:rsidR="00DC7FF2" w:rsidRPr="00A000DB" w:rsidRDefault="00DC7FF2" w:rsidP="00015CE5">
            <w:pPr>
              <w:jc w:val="center"/>
              <w:rPr>
                <w:rFonts w:ascii="Calibri" w:hAnsi="Calibri"/>
              </w:rPr>
            </w:pPr>
            <w:r>
              <w:rPr>
                <w:rFonts w:ascii="Calibri" w:hAnsi="Calibri"/>
              </w:rPr>
              <w:t>220</w:t>
            </w:r>
          </w:p>
        </w:tc>
      </w:tr>
      <w:tr w:rsidR="00DC7FF2" w:rsidRPr="00A000DB" w14:paraId="34C0B4B4"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5836F10E" w14:textId="77777777" w:rsidR="00DC7FF2" w:rsidRPr="00A000DB" w:rsidRDefault="00DC7FF2" w:rsidP="00015CE5">
            <w:pPr>
              <w:rPr>
                <w:rFonts w:ascii="Calibri" w:hAnsi="Calibri"/>
              </w:rPr>
            </w:pPr>
            <w:r>
              <w:rPr>
                <w:rFonts w:ascii="Calibri" w:hAnsi="Calibri"/>
              </w:rPr>
              <w:t>Birds</w:t>
            </w:r>
          </w:p>
        </w:tc>
        <w:tc>
          <w:tcPr>
            <w:tcW w:w="929" w:type="dxa"/>
            <w:tcBorders>
              <w:top w:val="nil"/>
              <w:left w:val="nil"/>
              <w:bottom w:val="single" w:sz="8" w:space="0" w:color="auto"/>
              <w:right w:val="single" w:sz="8" w:space="0" w:color="auto"/>
            </w:tcBorders>
            <w:shd w:val="clear" w:color="auto" w:fill="auto"/>
            <w:vAlign w:val="center"/>
          </w:tcPr>
          <w:p w14:paraId="4ECA8EE9" w14:textId="77777777" w:rsidR="00DC7FF2" w:rsidRPr="00A000DB" w:rsidRDefault="00DC7FF2" w:rsidP="00015CE5">
            <w:pPr>
              <w:jc w:val="center"/>
              <w:rPr>
                <w:rFonts w:ascii="Calibri" w:hAnsi="Calibri"/>
              </w:rPr>
            </w:pPr>
            <w:r>
              <w:rPr>
                <w:rFonts w:ascii="Calibri" w:hAnsi="Calibri"/>
              </w:rPr>
              <w:t>5</w:t>
            </w:r>
          </w:p>
        </w:tc>
        <w:tc>
          <w:tcPr>
            <w:tcW w:w="955" w:type="dxa"/>
            <w:tcBorders>
              <w:top w:val="nil"/>
              <w:left w:val="nil"/>
              <w:bottom w:val="single" w:sz="8" w:space="0" w:color="auto"/>
              <w:right w:val="single" w:sz="8" w:space="0" w:color="auto"/>
            </w:tcBorders>
            <w:shd w:val="clear" w:color="auto" w:fill="auto"/>
            <w:vAlign w:val="center"/>
          </w:tcPr>
          <w:p w14:paraId="4BD95EE7" w14:textId="77777777" w:rsidR="00DC7FF2" w:rsidRPr="00A000DB" w:rsidRDefault="00DC7FF2" w:rsidP="00015CE5">
            <w:pPr>
              <w:jc w:val="center"/>
              <w:rPr>
                <w:rFonts w:ascii="Calibri" w:hAnsi="Calibri"/>
              </w:rPr>
            </w:pPr>
            <w:r>
              <w:rPr>
                <w:rFonts w:ascii="Calibri" w:hAnsi="Calibri"/>
              </w:rPr>
              <w:t>103</w:t>
            </w:r>
          </w:p>
        </w:tc>
        <w:tc>
          <w:tcPr>
            <w:tcW w:w="1411" w:type="dxa"/>
            <w:tcBorders>
              <w:top w:val="nil"/>
              <w:left w:val="nil"/>
              <w:bottom w:val="single" w:sz="8" w:space="0" w:color="auto"/>
              <w:right w:val="single" w:sz="8" w:space="0" w:color="auto"/>
            </w:tcBorders>
            <w:shd w:val="clear" w:color="auto" w:fill="auto"/>
            <w:noWrap/>
            <w:vAlign w:val="center"/>
            <w:hideMark/>
          </w:tcPr>
          <w:p w14:paraId="6D1AB116" w14:textId="77777777" w:rsidR="00DC7FF2" w:rsidRPr="00A000DB" w:rsidRDefault="00DC7FF2" w:rsidP="00015CE5">
            <w:pPr>
              <w:jc w:val="center"/>
              <w:rPr>
                <w:rFonts w:ascii="Calibri" w:hAnsi="Calibri"/>
              </w:rPr>
            </w:pPr>
            <w:r>
              <w:rPr>
                <w:rFonts w:ascii="Calibri" w:hAnsi="Calibri"/>
              </w:rPr>
              <w:t>12</w:t>
            </w:r>
          </w:p>
        </w:tc>
        <w:tc>
          <w:tcPr>
            <w:tcW w:w="1331" w:type="dxa"/>
            <w:tcBorders>
              <w:top w:val="nil"/>
              <w:left w:val="nil"/>
              <w:bottom w:val="single" w:sz="8" w:space="0" w:color="auto"/>
              <w:right w:val="single" w:sz="8" w:space="0" w:color="auto"/>
            </w:tcBorders>
            <w:shd w:val="clear" w:color="auto" w:fill="auto"/>
            <w:noWrap/>
            <w:vAlign w:val="center"/>
            <w:hideMark/>
          </w:tcPr>
          <w:p w14:paraId="34088BC9" w14:textId="77777777" w:rsidR="00DC7FF2" w:rsidRPr="00A000DB" w:rsidRDefault="00DC7FF2" w:rsidP="00015CE5">
            <w:pPr>
              <w:jc w:val="center"/>
              <w:rPr>
                <w:rFonts w:ascii="Calibri" w:hAnsi="Calibri"/>
              </w:rPr>
            </w:pPr>
            <w:r>
              <w:rPr>
                <w:rFonts w:ascii="Calibri" w:hAnsi="Calibri"/>
              </w:rPr>
              <w:t>91</w:t>
            </w:r>
          </w:p>
        </w:tc>
        <w:tc>
          <w:tcPr>
            <w:tcW w:w="2035" w:type="dxa"/>
            <w:tcBorders>
              <w:top w:val="nil"/>
              <w:left w:val="nil"/>
              <w:bottom w:val="single" w:sz="8" w:space="0" w:color="auto"/>
              <w:right w:val="single" w:sz="8" w:space="0" w:color="auto"/>
            </w:tcBorders>
            <w:shd w:val="clear" w:color="auto" w:fill="auto"/>
            <w:noWrap/>
            <w:vAlign w:val="center"/>
            <w:hideMark/>
          </w:tcPr>
          <w:p w14:paraId="46E75BFC" w14:textId="77777777" w:rsidR="00DC7FF2" w:rsidRPr="00A000DB" w:rsidRDefault="00DC7FF2" w:rsidP="00015CE5">
            <w:pPr>
              <w:jc w:val="center"/>
              <w:rPr>
                <w:rFonts w:ascii="Calibri" w:hAnsi="Calibri"/>
              </w:rPr>
            </w:pPr>
            <w:r>
              <w:rPr>
                <w:rFonts w:ascii="Calibri" w:hAnsi="Calibri"/>
              </w:rPr>
              <w:t>108</w:t>
            </w:r>
          </w:p>
        </w:tc>
      </w:tr>
      <w:tr w:rsidR="00DC7FF2" w:rsidRPr="00A000DB" w14:paraId="3B3CD8FE"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5FE13548" w14:textId="77777777" w:rsidR="00DC7FF2" w:rsidRPr="00A000DB" w:rsidRDefault="00DC7FF2" w:rsidP="00015CE5">
            <w:pPr>
              <w:rPr>
                <w:rFonts w:ascii="Calibri" w:hAnsi="Calibri"/>
              </w:rPr>
            </w:pPr>
            <w:r>
              <w:rPr>
                <w:rFonts w:ascii="Calibri" w:hAnsi="Calibri"/>
              </w:rPr>
              <w:t>Fish</w:t>
            </w:r>
          </w:p>
        </w:tc>
        <w:tc>
          <w:tcPr>
            <w:tcW w:w="929" w:type="dxa"/>
            <w:tcBorders>
              <w:top w:val="nil"/>
              <w:left w:val="nil"/>
              <w:bottom w:val="single" w:sz="8" w:space="0" w:color="auto"/>
              <w:right w:val="single" w:sz="8" w:space="0" w:color="auto"/>
            </w:tcBorders>
            <w:shd w:val="clear" w:color="auto" w:fill="auto"/>
            <w:vAlign w:val="center"/>
          </w:tcPr>
          <w:p w14:paraId="5DC5E777" w14:textId="77777777" w:rsidR="00DC7FF2" w:rsidRPr="00A000DB" w:rsidRDefault="00DC7FF2" w:rsidP="00015CE5">
            <w:pPr>
              <w:jc w:val="center"/>
              <w:rPr>
                <w:rFonts w:ascii="Calibri" w:hAnsi="Calibri"/>
              </w:rPr>
            </w:pPr>
            <w:r>
              <w:rPr>
                <w:rFonts w:ascii="Calibri" w:hAnsi="Calibri"/>
              </w:rPr>
              <w:t>0</w:t>
            </w:r>
          </w:p>
        </w:tc>
        <w:tc>
          <w:tcPr>
            <w:tcW w:w="955" w:type="dxa"/>
            <w:tcBorders>
              <w:top w:val="nil"/>
              <w:left w:val="nil"/>
              <w:bottom w:val="single" w:sz="8" w:space="0" w:color="auto"/>
              <w:right w:val="single" w:sz="8" w:space="0" w:color="auto"/>
            </w:tcBorders>
            <w:shd w:val="clear" w:color="auto" w:fill="auto"/>
            <w:vAlign w:val="center"/>
          </w:tcPr>
          <w:p w14:paraId="0C4DB80B" w14:textId="77777777" w:rsidR="00DC7FF2" w:rsidRPr="00A000DB" w:rsidRDefault="00DC7FF2" w:rsidP="00015CE5">
            <w:pPr>
              <w:jc w:val="center"/>
              <w:rPr>
                <w:rFonts w:ascii="Calibri" w:hAnsi="Calibri"/>
              </w:rPr>
            </w:pPr>
            <w:r>
              <w:rPr>
                <w:rFonts w:ascii="Calibri" w:hAnsi="Calibri"/>
              </w:rPr>
              <w:t>193</w:t>
            </w:r>
          </w:p>
        </w:tc>
        <w:tc>
          <w:tcPr>
            <w:tcW w:w="1411" w:type="dxa"/>
            <w:tcBorders>
              <w:top w:val="nil"/>
              <w:left w:val="nil"/>
              <w:bottom w:val="single" w:sz="8" w:space="0" w:color="auto"/>
              <w:right w:val="single" w:sz="8" w:space="0" w:color="auto"/>
            </w:tcBorders>
            <w:shd w:val="clear" w:color="auto" w:fill="auto"/>
            <w:noWrap/>
            <w:vAlign w:val="center"/>
            <w:hideMark/>
          </w:tcPr>
          <w:p w14:paraId="1C9A427C" w14:textId="77777777" w:rsidR="00DC7FF2" w:rsidRPr="00A000DB" w:rsidRDefault="00DC7FF2" w:rsidP="00015CE5">
            <w:pPr>
              <w:jc w:val="center"/>
              <w:rPr>
                <w:rFonts w:ascii="Calibri" w:hAnsi="Calibri"/>
              </w:rPr>
            </w:pPr>
            <w:r>
              <w:rPr>
                <w:rFonts w:ascii="Calibri" w:hAnsi="Calibri"/>
              </w:rPr>
              <w:t>5</w:t>
            </w:r>
          </w:p>
        </w:tc>
        <w:tc>
          <w:tcPr>
            <w:tcW w:w="1331" w:type="dxa"/>
            <w:tcBorders>
              <w:top w:val="nil"/>
              <w:left w:val="nil"/>
              <w:bottom w:val="single" w:sz="8" w:space="0" w:color="auto"/>
              <w:right w:val="single" w:sz="8" w:space="0" w:color="auto"/>
            </w:tcBorders>
            <w:shd w:val="clear" w:color="auto" w:fill="auto"/>
            <w:noWrap/>
            <w:vAlign w:val="center"/>
            <w:hideMark/>
          </w:tcPr>
          <w:p w14:paraId="64F54345" w14:textId="77777777" w:rsidR="00DC7FF2" w:rsidRPr="00A000DB" w:rsidRDefault="00DC7FF2" w:rsidP="00015CE5">
            <w:pPr>
              <w:jc w:val="center"/>
              <w:rPr>
                <w:rFonts w:ascii="Calibri" w:hAnsi="Calibri"/>
              </w:rPr>
            </w:pPr>
            <w:r>
              <w:rPr>
                <w:rFonts w:ascii="Calibri" w:hAnsi="Calibri"/>
              </w:rPr>
              <w:t>188</w:t>
            </w:r>
          </w:p>
        </w:tc>
        <w:tc>
          <w:tcPr>
            <w:tcW w:w="2035" w:type="dxa"/>
            <w:tcBorders>
              <w:top w:val="nil"/>
              <w:left w:val="nil"/>
              <w:bottom w:val="single" w:sz="8" w:space="0" w:color="auto"/>
              <w:right w:val="single" w:sz="8" w:space="0" w:color="auto"/>
            </w:tcBorders>
            <w:shd w:val="clear" w:color="auto" w:fill="auto"/>
            <w:noWrap/>
            <w:vAlign w:val="center"/>
            <w:hideMark/>
          </w:tcPr>
          <w:p w14:paraId="30229F0F" w14:textId="77777777" w:rsidR="00DC7FF2" w:rsidRPr="00A000DB" w:rsidRDefault="00DC7FF2" w:rsidP="00015CE5">
            <w:pPr>
              <w:jc w:val="center"/>
              <w:rPr>
                <w:rFonts w:ascii="Calibri" w:hAnsi="Calibri"/>
              </w:rPr>
            </w:pPr>
            <w:r>
              <w:rPr>
                <w:rFonts w:ascii="Calibri" w:hAnsi="Calibri"/>
              </w:rPr>
              <w:t>193</w:t>
            </w:r>
          </w:p>
        </w:tc>
      </w:tr>
      <w:tr w:rsidR="00DC7FF2" w:rsidRPr="00A000DB" w14:paraId="19ACB51B"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285D5A3F" w14:textId="77777777" w:rsidR="00DC7FF2" w:rsidRPr="00A000DB" w:rsidRDefault="00DC7FF2" w:rsidP="00015CE5">
            <w:pPr>
              <w:rPr>
                <w:rFonts w:ascii="Calibri" w:hAnsi="Calibri"/>
              </w:rPr>
            </w:pPr>
            <w:r>
              <w:rPr>
                <w:rFonts w:ascii="Calibri" w:hAnsi="Calibri"/>
              </w:rPr>
              <w:t>Mammals</w:t>
            </w:r>
          </w:p>
        </w:tc>
        <w:tc>
          <w:tcPr>
            <w:tcW w:w="929" w:type="dxa"/>
            <w:tcBorders>
              <w:top w:val="nil"/>
              <w:left w:val="nil"/>
              <w:bottom w:val="single" w:sz="8" w:space="0" w:color="auto"/>
              <w:right w:val="single" w:sz="8" w:space="0" w:color="auto"/>
            </w:tcBorders>
            <w:shd w:val="clear" w:color="auto" w:fill="auto"/>
            <w:vAlign w:val="center"/>
          </w:tcPr>
          <w:p w14:paraId="205BF1CA" w14:textId="77777777" w:rsidR="00DC7FF2" w:rsidRPr="00A000DB" w:rsidRDefault="00DC7FF2" w:rsidP="00015CE5">
            <w:pPr>
              <w:jc w:val="center"/>
              <w:rPr>
                <w:rFonts w:ascii="Calibri" w:hAnsi="Calibri"/>
              </w:rPr>
            </w:pPr>
            <w:r>
              <w:rPr>
                <w:rFonts w:ascii="Calibri" w:hAnsi="Calibri"/>
              </w:rPr>
              <w:t>2</w:t>
            </w:r>
          </w:p>
        </w:tc>
        <w:tc>
          <w:tcPr>
            <w:tcW w:w="955" w:type="dxa"/>
            <w:tcBorders>
              <w:top w:val="nil"/>
              <w:left w:val="nil"/>
              <w:bottom w:val="single" w:sz="8" w:space="0" w:color="auto"/>
              <w:right w:val="single" w:sz="8" w:space="0" w:color="auto"/>
            </w:tcBorders>
            <w:shd w:val="clear" w:color="auto" w:fill="auto"/>
            <w:vAlign w:val="center"/>
          </w:tcPr>
          <w:p w14:paraId="02579021" w14:textId="77777777" w:rsidR="00DC7FF2" w:rsidRPr="00A000DB" w:rsidRDefault="00DC7FF2" w:rsidP="00015CE5">
            <w:pPr>
              <w:jc w:val="center"/>
              <w:rPr>
                <w:rFonts w:ascii="Calibri" w:hAnsi="Calibri"/>
              </w:rPr>
            </w:pPr>
            <w:r>
              <w:rPr>
                <w:rFonts w:ascii="Calibri" w:hAnsi="Calibri"/>
              </w:rPr>
              <w:t>107</w:t>
            </w:r>
          </w:p>
        </w:tc>
        <w:tc>
          <w:tcPr>
            <w:tcW w:w="1411" w:type="dxa"/>
            <w:tcBorders>
              <w:top w:val="nil"/>
              <w:left w:val="nil"/>
              <w:bottom w:val="single" w:sz="8" w:space="0" w:color="auto"/>
              <w:right w:val="single" w:sz="8" w:space="0" w:color="auto"/>
            </w:tcBorders>
            <w:shd w:val="clear" w:color="auto" w:fill="auto"/>
            <w:noWrap/>
            <w:vAlign w:val="center"/>
            <w:hideMark/>
          </w:tcPr>
          <w:p w14:paraId="7440E8E0" w14:textId="77777777" w:rsidR="00DC7FF2" w:rsidRPr="00A000DB" w:rsidRDefault="00DC7FF2" w:rsidP="00015CE5">
            <w:pPr>
              <w:jc w:val="center"/>
              <w:rPr>
                <w:rFonts w:ascii="Calibri" w:hAnsi="Calibri"/>
              </w:rPr>
            </w:pPr>
            <w:r>
              <w:rPr>
                <w:rFonts w:ascii="Calibri" w:hAnsi="Calibri"/>
              </w:rPr>
              <w:t>20</w:t>
            </w:r>
          </w:p>
        </w:tc>
        <w:tc>
          <w:tcPr>
            <w:tcW w:w="1331" w:type="dxa"/>
            <w:tcBorders>
              <w:top w:val="nil"/>
              <w:left w:val="nil"/>
              <w:bottom w:val="single" w:sz="8" w:space="0" w:color="auto"/>
              <w:right w:val="single" w:sz="8" w:space="0" w:color="auto"/>
            </w:tcBorders>
            <w:shd w:val="clear" w:color="auto" w:fill="auto"/>
            <w:noWrap/>
            <w:vAlign w:val="center"/>
            <w:hideMark/>
          </w:tcPr>
          <w:p w14:paraId="7932BDA1" w14:textId="77777777" w:rsidR="00DC7FF2" w:rsidRPr="00A000DB" w:rsidRDefault="00DC7FF2" w:rsidP="00015CE5">
            <w:pPr>
              <w:jc w:val="center"/>
              <w:rPr>
                <w:rFonts w:ascii="Calibri" w:hAnsi="Calibri"/>
              </w:rPr>
            </w:pPr>
            <w:r>
              <w:rPr>
                <w:rFonts w:ascii="Calibri" w:hAnsi="Calibri"/>
              </w:rPr>
              <w:t>87</w:t>
            </w:r>
          </w:p>
        </w:tc>
        <w:tc>
          <w:tcPr>
            <w:tcW w:w="2035" w:type="dxa"/>
            <w:tcBorders>
              <w:top w:val="nil"/>
              <w:left w:val="nil"/>
              <w:bottom w:val="single" w:sz="8" w:space="0" w:color="auto"/>
              <w:right w:val="single" w:sz="8" w:space="0" w:color="auto"/>
            </w:tcBorders>
            <w:shd w:val="clear" w:color="auto" w:fill="auto"/>
            <w:noWrap/>
            <w:vAlign w:val="center"/>
            <w:hideMark/>
          </w:tcPr>
          <w:p w14:paraId="2AA1BBC1" w14:textId="77777777" w:rsidR="00DC7FF2" w:rsidRPr="00A000DB" w:rsidRDefault="00DC7FF2" w:rsidP="00015CE5">
            <w:pPr>
              <w:jc w:val="center"/>
              <w:rPr>
                <w:rFonts w:ascii="Calibri" w:hAnsi="Calibri"/>
              </w:rPr>
            </w:pPr>
            <w:r>
              <w:rPr>
                <w:rFonts w:ascii="Calibri" w:hAnsi="Calibri"/>
              </w:rPr>
              <w:t>109</w:t>
            </w:r>
          </w:p>
        </w:tc>
      </w:tr>
      <w:tr w:rsidR="00DC7FF2" w:rsidRPr="00A000DB" w14:paraId="6511AB57"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11AC860F" w14:textId="77777777" w:rsidR="00DC7FF2" w:rsidRPr="00A000DB" w:rsidRDefault="00DC7FF2" w:rsidP="00015CE5">
            <w:pPr>
              <w:rPr>
                <w:rFonts w:ascii="Calibri" w:hAnsi="Calibri"/>
              </w:rPr>
            </w:pPr>
            <w:r>
              <w:rPr>
                <w:rFonts w:ascii="Calibri" w:hAnsi="Calibri"/>
              </w:rPr>
              <w:t>Plants</w:t>
            </w:r>
          </w:p>
        </w:tc>
        <w:tc>
          <w:tcPr>
            <w:tcW w:w="929" w:type="dxa"/>
            <w:tcBorders>
              <w:top w:val="nil"/>
              <w:left w:val="nil"/>
              <w:bottom w:val="single" w:sz="8" w:space="0" w:color="auto"/>
              <w:right w:val="single" w:sz="8" w:space="0" w:color="auto"/>
            </w:tcBorders>
            <w:shd w:val="clear" w:color="auto" w:fill="auto"/>
            <w:vAlign w:val="center"/>
          </w:tcPr>
          <w:p w14:paraId="229F983C" w14:textId="77777777" w:rsidR="00DC7FF2" w:rsidRPr="00A000DB" w:rsidRDefault="00DC7FF2" w:rsidP="00015CE5">
            <w:pPr>
              <w:jc w:val="center"/>
              <w:rPr>
                <w:rFonts w:ascii="Calibri" w:hAnsi="Calibri"/>
              </w:rPr>
            </w:pPr>
            <w:r>
              <w:rPr>
                <w:rFonts w:ascii="Calibri" w:hAnsi="Calibri"/>
              </w:rPr>
              <w:t>0</w:t>
            </w:r>
          </w:p>
        </w:tc>
        <w:tc>
          <w:tcPr>
            <w:tcW w:w="955" w:type="dxa"/>
            <w:tcBorders>
              <w:top w:val="nil"/>
              <w:left w:val="nil"/>
              <w:bottom w:val="single" w:sz="8" w:space="0" w:color="auto"/>
              <w:right w:val="single" w:sz="8" w:space="0" w:color="auto"/>
            </w:tcBorders>
            <w:shd w:val="clear" w:color="auto" w:fill="auto"/>
            <w:vAlign w:val="center"/>
          </w:tcPr>
          <w:p w14:paraId="5FA004C5" w14:textId="77777777" w:rsidR="00DC7FF2" w:rsidRPr="00A000DB" w:rsidRDefault="00DC7FF2" w:rsidP="00015CE5">
            <w:pPr>
              <w:jc w:val="center"/>
              <w:rPr>
                <w:rFonts w:ascii="Calibri" w:hAnsi="Calibri"/>
              </w:rPr>
            </w:pPr>
            <w:r>
              <w:rPr>
                <w:rFonts w:ascii="Calibri" w:hAnsi="Calibri"/>
              </w:rPr>
              <w:t>961</w:t>
            </w:r>
          </w:p>
        </w:tc>
        <w:tc>
          <w:tcPr>
            <w:tcW w:w="1411" w:type="dxa"/>
            <w:tcBorders>
              <w:top w:val="nil"/>
              <w:left w:val="nil"/>
              <w:bottom w:val="single" w:sz="8" w:space="0" w:color="auto"/>
              <w:right w:val="single" w:sz="8" w:space="0" w:color="auto"/>
            </w:tcBorders>
            <w:shd w:val="clear" w:color="auto" w:fill="auto"/>
            <w:noWrap/>
            <w:vAlign w:val="center"/>
            <w:hideMark/>
          </w:tcPr>
          <w:p w14:paraId="18E3E4A4" w14:textId="77777777" w:rsidR="00DC7FF2" w:rsidRPr="00A000DB" w:rsidRDefault="00DC7FF2" w:rsidP="00015CE5">
            <w:pPr>
              <w:jc w:val="center"/>
              <w:rPr>
                <w:rFonts w:ascii="Calibri" w:hAnsi="Calibri"/>
              </w:rPr>
            </w:pPr>
            <w:r>
              <w:rPr>
                <w:rFonts w:ascii="Calibri" w:hAnsi="Calibri"/>
              </w:rPr>
              <w:t>2</w:t>
            </w:r>
          </w:p>
        </w:tc>
        <w:tc>
          <w:tcPr>
            <w:tcW w:w="1331" w:type="dxa"/>
            <w:tcBorders>
              <w:top w:val="nil"/>
              <w:left w:val="nil"/>
              <w:bottom w:val="single" w:sz="8" w:space="0" w:color="auto"/>
              <w:right w:val="single" w:sz="8" w:space="0" w:color="auto"/>
            </w:tcBorders>
            <w:shd w:val="clear" w:color="auto" w:fill="auto"/>
            <w:noWrap/>
            <w:vAlign w:val="center"/>
            <w:hideMark/>
          </w:tcPr>
          <w:p w14:paraId="79C730B4" w14:textId="77777777" w:rsidR="00DC7FF2" w:rsidRPr="00A000DB" w:rsidRDefault="00DC7FF2" w:rsidP="00015CE5">
            <w:pPr>
              <w:jc w:val="center"/>
              <w:rPr>
                <w:rFonts w:ascii="Calibri" w:hAnsi="Calibri"/>
              </w:rPr>
            </w:pPr>
            <w:r>
              <w:rPr>
                <w:rFonts w:ascii="Calibri" w:hAnsi="Calibri"/>
              </w:rPr>
              <w:t>959</w:t>
            </w:r>
          </w:p>
        </w:tc>
        <w:tc>
          <w:tcPr>
            <w:tcW w:w="2035" w:type="dxa"/>
            <w:tcBorders>
              <w:top w:val="nil"/>
              <w:left w:val="nil"/>
              <w:bottom w:val="single" w:sz="8" w:space="0" w:color="auto"/>
              <w:right w:val="single" w:sz="8" w:space="0" w:color="auto"/>
            </w:tcBorders>
            <w:shd w:val="clear" w:color="auto" w:fill="auto"/>
            <w:noWrap/>
            <w:vAlign w:val="center"/>
            <w:hideMark/>
          </w:tcPr>
          <w:p w14:paraId="69A47461" w14:textId="77777777" w:rsidR="00DC7FF2" w:rsidRPr="00A000DB" w:rsidRDefault="00DC7FF2" w:rsidP="00015CE5">
            <w:pPr>
              <w:jc w:val="center"/>
              <w:rPr>
                <w:rFonts w:ascii="Calibri" w:hAnsi="Calibri"/>
              </w:rPr>
            </w:pPr>
            <w:r>
              <w:rPr>
                <w:rFonts w:ascii="Calibri" w:hAnsi="Calibri"/>
              </w:rPr>
              <w:t>961</w:t>
            </w:r>
          </w:p>
        </w:tc>
      </w:tr>
      <w:tr w:rsidR="00DC7FF2" w:rsidRPr="00A000DB" w14:paraId="3EC55083"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71E71D57" w14:textId="77777777" w:rsidR="00DC7FF2" w:rsidRPr="00A000DB" w:rsidRDefault="00DC7FF2" w:rsidP="00015CE5">
            <w:pPr>
              <w:rPr>
                <w:rFonts w:ascii="Calibri" w:hAnsi="Calibri"/>
              </w:rPr>
            </w:pPr>
            <w:r>
              <w:rPr>
                <w:rFonts w:ascii="Calibri" w:hAnsi="Calibri"/>
              </w:rPr>
              <w:t>Reptiles</w:t>
            </w:r>
          </w:p>
        </w:tc>
        <w:tc>
          <w:tcPr>
            <w:tcW w:w="929" w:type="dxa"/>
            <w:tcBorders>
              <w:top w:val="nil"/>
              <w:left w:val="nil"/>
              <w:bottom w:val="single" w:sz="8" w:space="0" w:color="auto"/>
              <w:right w:val="single" w:sz="8" w:space="0" w:color="auto"/>
            </w:tcBorders>
            <w:shd w:val="clear" w:color="auto" w:fill="auto"/>
            <w:vAlign w:val="center"/>
          </w:tcPr>
          <w:p w14:paraId="4A5D92A8" w14:textId="77777777" w:rsidR="00DC7FF2" w:rsidRPr="00A000DB" w:rsidRDefault="00DC7FF2" w:rsidP="00015CE5">
            <w:pPr>
              <w:jc w:val="center"/>
              <w:rPr>
                <w:rFonts w:ascii="Calibri" w:hAnsi="Calibri"/>
              </w:rPr>
            </w:pPr>
            <w:r>
              <w:rPr>
                <w:rFonts w:ascii="Calibri" w:hAnsi="Calibri"/>
              </w:rPr>
              <w:t>0</w:t>
            </w:r>
          </w:p>
        </w:tc>
        <w:tc>
          <w:tcPr>
            <w:tcW w:w="955" w:type="dxa"/>
            <w:tcBorders>
              <w:top w:val="nil"/>
              <w:left w:val="nil"/>
              <w:bottom w:val="single" w:sz="8" w:space="0" w:color="auto"/>
              <w:right w:val="single" w:sz="8" w:space="0" w:color="auto"/>
            </w:tcBorders>
            <w:shd w:val="clear" w:color="auto" w:fill="auto"/>
            <w:vAlign w:val="center"/>
          </w:tcPr>
          <w:p w14:paraId="02D02135" w14:textId="77777777" w:rsidR="00DC7FF2" w:rsidRPr="00A000DB" w:rsidRDefault="00DC7FF2" w:rsidP="00015CE5">
            <w:pPr>
              <w:jc w:val="center"/>
              <w:rPr>
                <w:rFonts w:ascii="Calibri" w:hAnsi="Calibri"/>
              </w:rPr>
            </w:pPr>
            <w:r>
              <w:rPr>
                <w:rFonts w:ascii="Calibri" w:hAnsi="Calibri"/>
              </w:rPr>
              <w:t>48</w:t>
            </w:r>
          </w:p>
        </w:tc>
        <w:tc>
          <w:tcPr>
            <w:tcW w:w="1411" w:type="dxa"/>
            <w:tcBorders>
              <w:top w:val="nil"/>
              <w:left w:val="nil"/>
              <w:bottom w:val="single" w:sz="8" w:space="0" w:color="auto"/>
              <w:right w:val="single" w:sz="8" w:space="0" w:color="auto"/>
            </w:tcBorders>
            <w:shd w:val="clear" w:color="auto" w:fill="auto"/>
            <w:noWrap/>
            <w:vAlign w:val="center"/>
            <w:hideMark/>
          </w:tcPr>
          <w:p w14:paraId="0596B07F" w14:textId="77777777" w:rsidR="00DC7FF2" w:rsidRPr="00A000DB" w:rsidRDefault="00DC7FF2" w:rsidP="00015CE5">
            <w:pPr>
              <w:jc w:val="center"/>
              <w:rPr>
                <w:rFonts w:ascii="Calibri" w:hAnsi="Calibri"/>
              </w:rPr>
            </w:pPr>
            <w:r>
              <w:rPr>
                <w:rFonts w:ascii="Calibri" w:hAnsi="Calibri"/>
              </w:rPr>
              <w:t>0</w:t>
            </w:r>
          </w:p>
        </w:tc>
        <w:tc>
          <w:tcPr>
            <w:tcW w:w="1331" w:type="dxa"/>
            <w:tcBorders>
              <w:top w:val="nil"/>
              <w:left w:val="nil"/>
              <w:bottom w:val="single" w:sz="8" w:space="0" w:color="auto"/>
              <w:right w:val="single" w:sz="8" w:space="0" w:color="auto"/>
            </w:tcBorders>
            <w:shd w:val="clear" w:color="auto" w:fill="auto"/>
            <w:noWrap/>
            <w:vAlign w:val="center"/>
            <w:hideMark/>
          </w:tcPr>
          <w:p w14:paraId="00FD9B22" w14:textId="77777777" w:rsidR="00DC7FF2" w:rsidRPr="00A000DB" w:rsidRDefault="00DC7FF2" w:rsidP="00015CE5">
            <w:pPr>
              <w:jc w:val="center"/>
              <w:rPr>
                <w:rFonts w:ascii="Calibri" w:hAnsi="Calibri"/>
              </w:rPr>
            </w:pPr>
            <w:r>
              <w:rPr>
                <w:rFonts w:ascii="Calibri" w:hAnsi="Calibri"/>
              </w:rPr>
              <w:t>48</w:t>
            </w:r>
          </w:p>
        </w:tc>
        <w:tc>
          <w:tcPr>
            <w:tcW w:w="2035" w:type="dxa"/>
            <w:tcBorders>
              <w:top w:val="nil"/>
              <w:left w:val="nil"/>
              <w:bottom w:val="single" w:sz="8" w:space="0" w:color="auto"/>
              <w:right w:val="single" w:sz="8" w:space="0" w:color="auto"/>
            </w:tcBorders>
            <w:shd w:val="clear" w:color="auto" w:fill="auto"/>
            <w:noWrap/>
            <w:vAlign w:val="center"/>
            <w:hideMark/>
          </w:tcPr>
          <w:p w14:paraId="1C352B28" w14:textId="77777777" w:rsidR="00DC7FF2" w:rsidRPr="00A000DB" w:rsidRDefault="00DC7FF2" w:rsidP="00015CE5">
            <w:pPr>
              <w:jc w:val="center"/>
              <w:rPr>
                <w:rFonts w:ascii="Calibri" w:hAnsi="Calibri"/>
              </w:rPr>
            </w:pPr>
            <w:r>
              <w:rPr>
                <w:rFonts w:ascii="Calibri" w:hAnsi="Calibri"/>
              </w:rPr>
              <w:t>48</w:t>
            </w:r>
          </w:p>
        </w:tc>
      </w:tr>
      <w:tr w:rsidR="00DC7FF2" w:rsidRPr="00A000DB" w14:paraId="1144956F"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32AE8BC4" w14:textId="77777777" w:rsidR="00DC7FF2" w:rsidRPr="00A000DB" w:rsidRDefault="00DC7FF2" w:rsidP="00015CE5">
            <w:pPr>
              <w:rPr>
                <w:rFonts w:ascii="Calibri" w:hAnsi="Calibri"/>
              </w:rPr>
            </w:pPr>
            <w:r>
              <w:rPr>
                <w:rFonts w:ascii="Calibri" w:hAnsi="Calibri"/>
              </w:rPr>
              <w:t>Terrestrial Invertebrates</w:t>
            </w:r>
          </w:p>
        </w:tc>
        <w:tc>
          <w:tcPr>
            <w:tcW w:w="929" w:type="dxa"/>
            <w:tcBorders>
              <w:top w:val="nil"/>
              <w:left w:val="nil"/>
              <w:bottom w:val="single" w:sz="8" w:space="0" w:color="auto"/>
              <w:right w:val="single" w:sz="8" w:space="0" w:color="auto"/>
            </w:tcBorders>
            <w:shd w:val="clear" w:color="auto" w:fill="auto"/>
            <w:vAlign w:val="center"/>
          </w:tcPr>
          <w:p w14:paraId="6D34BC03" w14:textId="77777777" w:rsidR="00DC7FF2" w:rsidRPr="00A000DB" w:rsidRDefault="00DC7FF2" w:rsidP="00015CE5">
            <w:pPr>
              <w:jc w:val="center"/>
              <w:rPr>
                <w:rFonts w:ascii="Calibri" w:hAnsi="Calibri"/>
              </w:rPr>
            </w:pPr>
            <w:r>
              <w:rPr>
                <w:rFonts w:ascii="Calibri" w:hAnsi="Calibri"/>
              </w:rPr>
              <w:t>9</w:t>
            </w:r>
          </w:p>
        </w:tc>
        <w:tc>
          <w:tcPr>
            <w:tcW w:w="955" w:type="dxa"/>
            <w:tcBorders>
              <w:top w:val="nil"/>
              <w:left w:val="nil"/>
              <w:bottom w:val="single" w:sz="8" w:space="0" w:color="auto"/>
              <w:right w:val="single" w:sz="8" w:space="0" w:color="auto"/>
            </w:tcBorders>
            <w:shd w:val="clear" w:color="auto" w:fill="auto"/>
            <w:vAlign w:val="center"/>
          </w:tcPr>
          <w:p w14:paraId="1B1DA8D1" w14:textId="77777777" w:rsidR="00DC7FF2" w:rsidRPr="00A000DB" w:rsidRDefault="00DC7FF2" w:rsidP="00015CE5">
            <w:pPr>
              <w:jc w:val="center"/>
              <w:rPr>
                <w:rFonts w:ascii="Calibri" w:hAnsi="Calibri"/>
              </w:rPr>
            </w:pPr>
            <w:r>
              <w:rPr>
                <w:rFonts w:ascii="Calibri" w:hAnsi="Calibri"/>
              </w:rPr>
              <w:t>147</w:t>
            </w:r>
          </w:p>
        </w:tc>
        <w:tc>
          <w:tcPr>
            <w:tcW w:w="1411" w:type="dxa"/>
            <w:tcBorders>
              <w:top w:val="nil"/>
              <w:left w:val="nil"/>
              <w:bottom w:val="single" w:sz="8" w:space="0" w:color="auto"/>
              <w:right w:val="single" w:sz="8" w:space="0" w:color="auto"/>
            </w:tcBorders>
            <w:shd w:val="clear" w:color="auto" w:fill="auto"/>
            <w:noWrap/>
            <w:vAlign w:val="center"/>
            <w:hideMark/>
          </w:tcPr>
          <w:p w14:paraId="5BE218CA" w14:textId="77777777" w:rsidR="00DC7FF2" w:rsidRPr="00A000DB" w:rsidRDefault="00DC7FF2" w:rsidP="00015CE5">
            <w:pPr>
              <w:jc w:val="center"/>
              <w:rPr>
                <w:rFonts w:ascii="Calibri" w:hAnsi="Calibri"/>
              </w:rPr>
            </w:pPr>
            <w:r>
              <w:rPr>
                <w:rFonts w:ascii="Calibri" w:hAnsi="Calibri"/>
              </w:rPr>
              <w:t>0</w:t>
            </w:r>
          </w:p>
        </w:tc>
        <w:tc>
          <w:tcPr>
            <w:tcW w:w="1331" w:type="dxa"/>
            <w:tcBorders>
              <w:top w:val="nil"/>
              <w:left w:val="nil"/>
              <w:bottom w:val="single" w:sz="8" w:space="0" w:color="auto"/>
              <w:right w:val="single" w:sz="8" w:space="0" w:color="auto"/>
            </w:tcBorders>
            <w:shd w:val="clear" w:color="auto" w:fill="auto"/>
            <w:noWrap/>
            <w:vAlign w:val="center"/>
            <w:hideMark/>
          </w:tcPr>
          <w:p w14:paraId="0BDDE670" w14:textId="77777777" w:rsidR="00DC7FF2" w:rsidRPr="00A000DB" w:rsidRDefault="00DC7FF2" w:rsidP="00015CE5">
            <w:pPr>
              <w:jc w:val="center"/>
              <w:rPr>
                <w:rFonts w:ascii="Calibri" w:hAnsi="Calibri"/>
              </w:rPr>
            </w:pPr>
            <w:r>
              <w:rPr>
                <w:rFonts w:ascii="Calibri" w:hAnsi="Calibri"/>
              </w:rPr>
              <w:t>147</w:t>
            </w:r>
          </w:p>
        </w:tc>
        <w:tc>
          <w:tcPr>
            <w:tcW w:w="2035" w:type="dxa"/>
            <w:tcBorders>
              <w:top w:val="nil"/>
              <w:left w:val="nil"/>
              <w:bottom w:val="single" w:sz="8" w:space="0" w:color="auto"/>
              <w:right w:val="single" w:sz="8" w:space="0" w:color="auto"/>
            </w:tcBorders>
            <w:shd w:val="clear" w:color="auto" w:fill="auto"/>
            <w:noWrap/>
            <w:vAlign w:val="center"/>
            <w:hideMark/>
          </w:tcPr>
          <w:p w14:paraId="5ADDFD20" w14:textId="77777777" w:rsidR="00DC7FF2" w:rsidRPr="00A000DB" w:rsidRDefault="00DC7FF2" w:rsidP="00015CE5">
            <w:pPr>
              <w:jc w:val="center"/>
              <w:rPr>
                <w:rFonts w:ascii="Calibri" w:hAnsi="Calibri"/>
              </w:rPr>
            </w:pPr>
            <w:r>
              <w:rPr>
                <w:rFonts w:ascii="Calibri" w:hAnsi="Calibri"/>
              </w:rPr>
              <w:t>156</w:t>
            </w:r>
          </w:p>
        </w:tc>
      </w:tr>
      <w:tr w:rsidR="00DC7FF2" w:rsidRPr="00A000DB" w14:paraId="7BB86803"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000000" w:fill="F2F2F2"/>
            <w:noWrap/>
            <w:vAlign w:val="center"/>
            <w:hideMark/>
          </w:tcPr>
          <w:p w14:paraId="0F2590E1" w14:textId="77777777" w:rsidR="00DC7FF2" w:rsidRPr="00A000DB" w:rsidRDefault="00DC7FF2" w:rsidP="00015CE5">
            <w:pPr>
              <w:rPr>
                <w:rFonts w:ascii="Calibri" w:hAnsi="Calibri"/>
              </w:rPr>
            </w:pPr>
            <w:r>
              <w:rPr>
                <w:rFonts w:ascii="Calibri" w:hAnsi="Calibri"/>
              </w:rPr>
              <w:t>Total</w:t>
            </w:r>
          </w:p>
        </w:tc>
        <w:tc>
          <w:tcPr>
            <w:tcW w:w="929" w:type="dxa"/>
            <w:tcBorders>
              <w:top w:val="nil"/>
              <w:left w:val="nil"/>
              <w:bottom w:val="single" w:sz="8" w:space="0" w:color="auto"/>
              <w:right w:val="single" w:sz="8" w:space="0" w:color="auto"/>
            </w:tcBorders>
            <w:shd w:val="clear" w:color="000000" w:fill="F2F2F2"/>
            <w:vAlign w:val="center"/>
          </w:tcPr>
          <w:p w14:paraId="2F33BB24" w14:textId="77777777" w:rsidR="00DC7FF2" w:rsidRPr="00A000DB" w:rsidRDefault="00DC7FF2" w:rsidP="00015CE5">
            <w:pPr>
              <w:jc w:val="center"/>
              <w:rPr>
                <w:rFonts w:ascii="Calibri" w:hAnsi="Calibri"/>
              </w:rPr>
            </w:pPr>
            <w:r>
              <w:rPr>
                <w:rFonts w:ascii="Calibri" w:hAnsi="Calibri"/>
              </w:rPr>
              <w:t>16</w:t>
            </w:r>
          </w:p>
        </w:tc>
        <w:tc>
          <w:tcPr>
            <w:tcW w:w="955" w:type="dxa"/>
            <w:tcBorders>
              <w:top w:val="nil"/>
              <w:left w:val="nil"/>
              <w:bottom w:val="single" w:sz="8" w:space="0" w:color="auto"/>
              <w:right w:val="single" w:sz="8" w:space="0" w:color="auto"/>
            </w:tcBorders>
            <w:shd w:val="clear" w:color="000000" w:fill="F2F2F2"/>
            <w:vAlign w:val="center"/>
          </w:tcPr>
          <w:p w14:paraId="6E9F1EC7" w14:textId="77777777" w:rsidR="00DC7FF2" w:rsidRPr="00A000DB" w:rsidRDefault="00DC7FF2" w:rsidP="00015CE5">
            <w:pPr>
              <w:jc w:val="center"/>
              <w:rPr>
                <w:rFonts w:ascii="Calibri" w:hAnsi="Calibri"/>
              </w:rPr>
            </w:pPr>
            <w:r>
              <w:rPr>
                <w:rFonts w:ascii="Calibri" w:hAnsi="Calibri"/>
              </w:rPr>
              <w:t>1819</w:t>
            </w:r>
          </w:p>
        </w:tc>
        <w:tc>
          <w:tcPr>
            <w:tcW w:w="1411" w:type="dxa"/>
            <w:tcBorders>
              <w:top w:val="nil"/>
              <w:left w:val="nil"/>
              <w:bottom w:val="single" w:sz="8" w:space="0" w:color="auto"/>
              <w:right w:val="single" w:sz="8" w:space="0" w:color="auto"/>
            </w:tcBorders>
            <w:shd w:val="clear" w:color="000000" w:fill="F2F2F2"/>
            <w:noWrap/>
            <w:vAlign w:val="center"/>
            <w:hideMark/>
          </w:tcPr>
          <w:p w14:paraId="696CBC2A" w14:textId="77777777" w:rsidR="00DC7FF2" w:rsidRPr="00A000DB" w:rsidRDefault="00DC7FF2" w:rsidP="00015CE5">
            <w:pPr>
              <w:jc w:val="center"/>
              <w:rPr>
                <w:rFonts w:ascii="Calibri" w:hAnsi="Calibri"/>
              </w:rPr>
            </w:pPr>
            <w:r>
              <w:rPr>
                <w:rFonts w:ascii="Calibri" w:hAnsi="Calibri"/>
              </w:rPr>
              <w:t>41</w:t>
            </w:r>
          </w:p>
        </w:tc>
        <w:tc>
          <w:tcPr>
            <w:tcW w:w="1331" w:type="dxa"/>
            <w:tcBorders>
              <w:top w:val="nil"/>
              <w:left w:val="nil"/>
              <w:bottom w:val="single" w:sz="8" w:space="0" w:color="auto"/>
              <w:right w:val="single" w:sz="8" w:space="0" w:color="auto"/>
            </w:tcBorders>
            <w:shd w:val="clear" w:color="000000" w:fill="F2F2F2"/>
            <w:noWrap/>
            <w:vAlign w:val="center"/>
            <w:hideMark/>
          </w:tcPr>
          <w:p w14:paraId="0B7B8B7A" w14:textId="77777777" w:rsidR="00DC7FF2" w:rsidRPr="00A000DB" w:rsidRDefault="00DC7FF2" w:rsidP="00015CE5">
            <w:pPr>
              <w:jc w:val="center"/>
              <w:rPr>
                <w:rFonts w:ascii="Calibri" w:hAnsi="Calibri"/>
              </w:rPr>
            </w:pPr>
            <w:r>
              <w:rPr>
                <w:rFonts w:ascii="Calibri" w:hAnsi="Calibri"/>
              </w:rPr>
              <w:t>1778</w:t>
            </w:r>
          </w:p>
        </w:tc>
        <w:tc>
          <w:tcPr>
            <w:tcW w:w="2035" w:type="dxa"/>
            <w:vMerge w:val="restart"/>
            <w:tcBorders>
              <w:top w:val="nil"/>
              <w:left w:val="nil"/>
              <w:right w:val="single" w:sz="8" w:space="0" w:color="auto"/>
            </w:tcBorders>
            <w:shd w:val="clear" w:color="000000" w:fill="D9D9D9"/>
            <w:noWrap/>
            <w:vAlign w:val="center"/>
            <w:hideMark/>
          </w:tcPr>
          <w:p w14:paraId="1DA2703C" w14:textId="77777777" w:rsidR="00DC7FF2" w:rsidRPr="00A000DB" w:rsidRDefault="00DC7FF2" w:rsidP="00015CE5">
            <w:pPr>
              <w:jc w:val="center"/>
              <w:rPr>
                <w:rFonts w:ascii="Calibri" w:hAnsi="Calibri"/>
              </w:rPr>
            </w:pPr>
            <w:r>
              <w:rPr>
                <w:rFonts w:ascii="Calibri" w:hAnsi="Calibri"/>
              </w:rPr>
              <w:t>1835</w:t>
            </w:r>
          </w:p>
        </w:tc>
      </w:tr>
      <w:tr w:rsidR="00DC7FF2" w:rsidRPr="00A000DB" w14:paraId="29387019" w14:textId="77777777" w:rsidTr="00015CE5">
        <w:trPr>
          <w:trHeight w:val="300"/>
          <w:jc w:val="center"/>
        </w:trPr>
        <w:tc>
          <w:tcPr>
            <w:tcW w:w="2164"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6C7B4076" w14:textId="77777777" w:rsidR="00DC7FF2" w:rsidRPr="00A000DB" w:rsidRDefault="00DC7FF2" w:rsidP="00015CE5">
            <w:pPr>
              <w:rPr>
                <w:rFonts w:ascii="Calibri" w:hAnsi="Calibri"/>
              </w:rPr>
            </w:pPr>
            <w:r w:rsidRPr="00A000DB">
              <w:rPr>
                <w:rFonts w:ascii="Calibri" w:hAnsi="Calibri"/>
              </w:rPr>
              <w:t>Percent of Total Number of Species (%)</w:t>
            </w:r>
          </w:p>
        </w:tc>
        <w:tc>
          <w:tcPr>
            <w:tcW w:w="929" w:type="dxa"/>
            <w:tcBorders>
              <w:top w:val="single" w:sz="4" w:space="0" w:color="auto"/>
              <w:left w:val="nil"/>
              <w:bottom w:val="single" w:sz="4" w:space="0" w:color="auto"/>
              <w:right w:val="single" w:sz="4" w:space="0" w:color="auto"/>
            </w:tcBorders>
            <w:shd w:val="clear" w:color="000000" w:fill="F2F2F2"/>
            <w:vAlign w:val="center"/>
          </w:tcPr>
          <w:p w14:paraId="4F64D4FE" w14:textId="77777777" w:rsidR="00DC7FF2" w:rsidRPr="00A000DB" w:rsidRDefault="00DC7FF2" w:rsidP="00015CE5">
            <w:pPr>
              <w:jc w:val="center"/>
              <w:rPr>
                <w:rFonts w:ascii="Calibri" w:hAnsi="Calibri"/>
              </w:rPr>
            </w:pPr>
            <w:r w:rsidRPr="00A000DB">
              <w:rPr>
                <w:rFonts w:ascii="Calibri" w:hAnsi="Calibri"/>
              </w:rPr>
              <w:t>1</w:t>
            </w:r>
          </w:p>
        </w:tc>
        <w:tc>
          <w:tcPr>
            <w:tcW w:w="955" w:type="dxa"/>
            <w:tcBorders>
              <w:top w:val="single" w:sz="4" w:space="0" w:color="auto"/>
              <w:left w:val="single" w:sz="4" w:space="0" w:color="auto"/>
              <w:bottom w:val="single" w:sz="4" w:space="0" w:color="auto"/>
              <w:right w:val="single" w:sz="4" w:space="0" w:color="auto"/>
            </w:tcBorders>
            <w:shd w:val="clear" w:color="000000" w:fill="F2F2F2"/>
            <w:vAlign w:val="center"/>
          </w:tcPr>
          <w:p w14:paraId="6A4C044A" w14:textId="77777777" w:rsidR="00DC7FF2" w:rsidRPr="00A000DB" w:rsidRDefault="00DC7FF2" w:rsidP="00015CE5">
            <w:pPr>
              <w:jc w:val="center"/>
              <w:rPr>
                <w:rFonts w:ascii="Calibri" w:hAnsi="Calibri"/>
              </w:rPr>
            </w:pPr>
            <w:r w:rsidRPr="00A000DB">
              <w:rPr>
                <w:rFonts w:ascii="Calibri" w:hAnsi="Calibri"/>
              </w:rPr>
              <w:t>99</w:t>
            </w:r>
          </w:p>
        </w:tc>
        <w:tc>
          <w:tcPr>
            <w:tcW w:w="1411"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014D79EE" w14:textId="77777777" w:rsidR="00DC7FF2" w:rsidRPr="00A000DB" w:rsidRDefault="00DC7FF2" w:rsidP="00015CE5">
            <w:pPr>
              <w:jc w:val="center"/>
              <w:rPr>
                <w:rFonts w:ascii="Calibri" w:hAnsi="Calibri"/>
              </w:rPr>
            </w:pPr>
            <w:r w:rsidRPr="00A000DB">
              <w:rPr>
                <w:rFonts w:ascii="Calibri" w:hAnsi="Calibri"/>
              </w:rPr>
              <w:t>2</w:t>
            </w:r>
          </w:p>
        </w:tc>
        <w:tc>
          <w:tcPr>
            <w:tcW w:w="1331"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144B5A48" w14:textId="77777777" w:rsidR="00DC7FF2" w:rsidRPr="00A000DB" w:rsidRDefault="00DC7FF2" w:rsidP="00015CE5">
            <w:pPr>
              <w:jc w:val="center"/>
              <w:rPr>
                <w:rFonts w:ascii="Calibri" w:hAnsi="Calibri"/>
              </w:rPr>
            </w:pPr>
            <w:r w:rsidRPr="00A000DB">
              <w:rPr>
                <w:rFonts w:ascii="Calibri" w:hAnsi="Calibri"/>
              </w:rPr>
              <w:t>97</w:t>
            </w:r>
          </w:p>
        </w:tc>
        <w:tc>
          <w:tcPr>
            <w:tcW w:w="2035" w:type="dxa"/>
            <w:vMerge/>
            <w:tcBorders>
              <w:left w:val="single" w:sz="4" w:space="0" w:color="auto"/>
              <w:bottom w:val="single" w:sz="4" w:space="0" w:color="auto"/>
              <w:right w:val="single" w:sz="8" w:space="0" w:color="auto"/>
            </w:tcBorders>
            <w:shd w:val="clear" w:color="000000" w:fill="D9D9D9"/>
            <w:noWrap/>
            <w:vAlign w:val="bottom"/>
          </w:tcPr>
          <w:p w14:paraId="29D34630" w14:textId="77777777" w:rsidR="00DC7FF2" w:rsidRPr="00A000DB" w:rsidRDefault="00DC7FF2" w:rsidP="00015CE5">
            <w:pPr>
              <w:jc w:val="center"/>
              <w:rPr>
                <w:rFonts w:ascii="Calibri" w:hAnsi="Calibri"/>
              </w:rPr>
            </w:pPr>
          </w:p>
        </w:tc>
      </w:tr>
    </w:tbl>
    <w:p w14:paraId="634FF2B2" w14:textId="77777777" w:rsidR="002F6F7A" w:rsidRDefault="002F6F7A" w:rsidP="002F6F7A">
      <w:pPr>
        <w:rPr>
          <w:b/>
        </w:rPr>
      </w:pPr>
    </w:p>
    <w:p w14:paraId="0D1E8902" w14:textId="77777777" w:rsidR="002F6F7A" w:rsidRDefault="002F6F7A" w:rsidP="002F6F7A">
      <w:pPr>
        <w:rPr>
          <w:b/>
        </w:rPr>
      </w:pPr>
    </w:p>
    <w:p w14:paraId="56032676" w14:textId="415B4559" w:rsidR="002F6F7A" w:rsidRDefault="00C13650" w:rsidP="002F6F7A">
      <w:pPr>
        <w:rPr>
          <w:b/>
        </w:rPr>
      </w:pPr>
      <w:r w:rsidRPr="00D313BE">
        <w:rPr>
          <w:b/>
        </w:rPr>
        <w:t>TABLE</w:t>
      </w:r>
      <w:r w:rsidR="00872545">
        <w:rPr>
          <w:b/>
        </w:rPr>
        <w:t xml:space="preserve"> </w:t>
      </w:r>
      <w:r>
        <w:rPr>
          <w:b/>
        </w:rPr>
        <w:t>2</w:t>
      </w:r>
      <w:r w:rsidRPr="00D313BE">
        <w:rPr>
          <w:b/>
        </w:rPr>
        <w:t xml:space="preserve">. Summary of </w:t>
      </w:r>
      <w:r>
        <w:rPr>
          <w:b/>
        </w:rPr>
        <w:t xml:space="preserve">Critical Habitat </w:t>
      </w:r>
      <w:r w:rsidRPr="00D313BE">
        <w:rPr>
          <w:b/>
        </w:rPr>
        <w:t xml:space="preserve">Effects Determinations for </w:t>
      </w:r>
      <w:r w:rsidR="000A6E22">
        <w:rPr>
          <w:b/>
        </w:rPr>
        <w:t>Malathion</w:t>
      </w:r>
      <w:r w:rsidRPr="00D313BE">
        <w:rPr>
          <w:b/>
        </w:rPr>
        <w:t xml:space="preserve"> (Counts by Taxon).</w:t>
      </w:r>
    </w:p>
    <w:tbl>
      <w:tblPr>
        <w:tblW w:w="8089" w:type="dxa"/>
        <w:jc w:val="center"/>
        <w:tblLook w:val="04A0" w:firstRow="1" w:lastRow="0" w:firstColumn="1" w:lastColumn="0" w:noHBand="0" w:noVBand="1"/>
      </w:tblPr>
      <w:tblGrid>
        <w:gridCol w:w="2164"/>
        <w:gridCol w:w="929"/>
        <w:gridCol w:w="955"/>
        <w:gridCol w:w="1161"/>
        <w:gridCol w:w="1639"/>
        <w:gridCol w:w="1241"/>
      </w:tblGrid>
      <w:tr w:rsidR="00DC7FF2" w:rsidRPr="00DC7FF2" w14:paraId="0082067B" w14:textId="77777777" w:rsidTr="00015CE5">
        <w:trPr>
          <w:trHeight w:val="800"/>
          <w:jc w:val="center"/>
        </w:trPr>
        <w:tc>
          <w:tcPr>
            <w:tcW w:w="2164" w:type="dxa"/>
            <w:vMerge w:val="restart"/>
            <w:tcBorders>
              <w:top w:val="single" w:sz="4" w:space="0" w:color="auto"/>
              <w:left w:val="single" w:sz="4" w:space="0" w:color="auto"/>
              <w:right w:val="single" w:sz="4" w:space="0" w:color="auto"/>
            </w:tcBorders>
            <w:shd w:val="clear" w:color="000000" w:fill="D9D9D9"/>
            <w:noWrap/>
            <w:vAlign w:val="center"/>
            <w:hideMark/>
          </w:tcPr>
          <w:p w14:paraId="66C7CD8D" w14:textId="77777777" w:rsidR="00DC7FF2" w:rsidRPr="00DC7FF2" w:rsidRDefault="00DC7FF2" w:rsidP="00DC7FF2">
            <w:pPr>
              <w:jc w:val="center"/>
              <w:rPr>
                <w:rFonts w:ascii="Calibri" w:eastAsia="Times New Roman" w:hAnsi="Calibri" w:cs="Times New Roman"/>
                <w:b/>
                <w:color w:val="000000"/>
              </w:rPr>
            </w:pPr>
            <w:r w:rsidRPr="00DC7FF2">
              <w:rPr>
                <w:rFonts w:ascii="Calibri" w:eastAsia="Times New Roman" w:hAnsi="Calibri" w:cs="Times New Roman"/>
                <w:b/>
                <w:color w:val="000000"/>
              </w:rPr>
              <w:t>DESIGNATED CRITICAL HABITAT TAXON</w:t>
            </w:r>
          </w:p>
        </w:tc>
        <w:tc>
          <w:tcPr>
            <w:tcW w:w="1884" w:type="dxa"/>
            <w:gridSpan w:val="2"/>
            <w:tcBorders>
              <w:top w:val="single" w:sz="4" w:space="0" w:color="auto"/>
              <w:left w:val="nil"/>
              <w:bottom w:val="single" w:sz="4" w:space="0" w:color="auto"/>
              <w:right w:val="single" w:sz="4" w:space="0" w:color="auto"/>
            </w:tcBorders>
            <w:shd w:val="clear" w:color="000000" w:fill="D9D9D9"/>
            <w:vAlign w:val="center"/>
          </w:tcPr>
          <w:p w14:paraId="1A258E24"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STEP 1 EFFECTS DETERMINATION</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DCAAE7B"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STEP 2 EFFECTS DETERMINATIONS</w:t>
            </w:r>
          </w:p>
        </w:tc>
        <w:tc>
          <w:tcPr>
            <w:tcW w:w="1241" w:type="dxa"/>
            <w:vMerge w:val="restart"/>
            <w:tcBorders>
              <w:top w:val="single" w:sz="4" w:space="0" w:color="auto"/>
              <w:left w:val="nil"/>
              <w:right w:val="single" w:sz="4" w:space="0" w:color="auto"/>
            </w:tcBorders>
            <w:shd w:val="clear" w:color="000000" w:fill="D9D9D9"/>
            <w:noWrap/>
            <w:vAlign w:val="center"/>
            <w:hideMark/>
          </w:tcPr>
          <w:p w14:paraId="53946F63" w14:textId="77777777" w:rsidR="00DC7FF2" w:rsidRPr="00DC7FF2" w:rsidRDefault="00DC7FF2" w:rsidP="00DC7FF2">
            <w:pPr>
              <w:jc w:val="center"/>
              <w:rPr>
                <w:rFonts w:ascii="Calibri" w:eastAsia="Times New Roman" w:hAnsi="Calibri" w:cs="Times New Roman"/>
                <w:b/>
                <w:color w:val="000000"/>
              </w:rPr>
            </w:pPr>
            <w:r w:rsidRPr="00DC7FF2">
              <w:rPr>
                <w:rFonts w:ascii="Calibri" w:eastAsia="Times New Roman" w:hAnsi="Calibri" w:cs="Times New Roman"/>
                <w:b/>
                <w:color w:val="000000"/>
              </w:rPr>
              <w:t>Totals</w:t>
            </w:r>
          </w:p>
        </w:tc>
      </w:tr>
      <w:tr w:rsidR="00DC7FF2" w:rsidRPr="00DC7FF2" w14:paraId="04DBAEFD" w14:textId="77777777" w:rsidTr="00015CE5">
        <w:trPr>
          <w:trHeight w:val="300"/>
          <w:jc w:val="center"/>
        </w:trPr>
        <w:tc>
          <w:tcPr>
            <w:tcW w:w="2164" w:type="dxa"/>
            <w:vMerge/>
            <w:tcBorders>
              <w:left w:val="single" w:sz="4" w:space="0" w:color="auto"/>
              <w:bottom w:val="single" w:sz="4" w:space="0" w:color="auto"/>
              <w:right w:val="single" w:sz="4" w:space="0" w:color="auto"/>
            </w:tcBorders>
            <w:shd w:val="clear" w:color="000000" w:fill="D9D9D9"/>
            <w:noWrap/>
            <w:vAlign w:val="bottom"/>
          </w:tcPr>
          <w:p w14:paraId="173F442C" w14:textId="77777777" w:rsidR="00DC7FF2" w:rsidRPr="00DC7FF2" w:rsidRDefault="00DC7FF2" w:rsidP="00DC7FF2">
            <w:pPr>
              <w:rPr>
                <w:rFonts w:ascii="Calibri" w:eastAsia="Times New Roman" w:hAnsi="Calibri" w:cs="Times New Roman"/>
                <w:color w:val="000000"/>
              </w:rPr>
            </w:pPr>
          </w:p>
        </w:tc>
        <w:tc>
          <w:tcPr>
            <w:tcW w:w="929" w:type="dxa"/>
            <w:tcBorders>
              <w:top w:val="single" w:sz="4" w:space="0" w:color="auto"/>
              <w:left w:val="nil"/>
              <w:bottom w:val="single" w:sz="4" w:space="0" w:color="auto"/>
              <w:right w:val="single" w:sz="4" w:space="0" w:color="auto"/>
            </w:tcBorders>
            <w:shd w:val="clear" w:color="000000" w:fill="D9D9D9"/>
            <w:vAlign w:val="center"/>
          </w:tcPr>
          <w:p w14:paraId="71271B4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NO EFFECT</w:t>
            </w:r>
          </w:p>
        </w:tc>
        <w:tc>
          <w:tcPr>
            <w:tcW w:w="955" w:type="dxa"/>
            <w:tcBorders>
              <w:top w:val="single" w:sz="4" w:space="0" w:color="auto"/>
              <w:left w:val="single" w:sz="4" w:space="0" w:color="auto"/>
              <w:bottom w:val="single" w:sz="4" w:space="0" w:color="auto"/>
              <w:right w:val="single" w:sz="4" w:space="0" w:color="auto"/>
            </w:tcBorders>
            <w:shd w:val="clear" w:color="000000" w:fill="D9D9D9"/>
            <w:vAlign w:val="center"/>
          </w:tcPr>
          <w:p w14:paraId="044D9F11"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MAY AFFECT</w:t>
            </w:r>
          </w:p>
        </w:tc>
        <w:tc>
          <w:tcPr>
            <w:tcW w:w="1161"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30DBF03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NOT LIKELY TO ADVERSLY AFFECT</w:t>
            </w:r>
          </w:p>
        </w:tc>
        <w:tc>
          <w:tcPr>
            <w:tcW w:w="1639" w:type="dxa"/>
            <w:tcBorders>
              <w:top w:val="single" w:sz="4" w:space="0" w:color="auto"/>
              <w:left w:val="nil"/>
              <w:bottom w:val="single" w:sz="4" w:space="0" w:color="auto"/>
              <w:right w:val="single" w:sz="4" w:space="0" w:color="auto"/>
            </w:tcBorders>
            <w:shd w:val="clear" w:color="000000" w:fill="D9D9D9"/>
            <w:noWrap/>
            <w:vAlign w:val="center"/>
          </w:tcPr>
          <w:p w14:paraId="009B722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b/>
                <w:color w:val="000000"/>
              </w:rPr>
              <w:t>LIKELY TO ADVERSELY AFFECT</w:t>
            </w:r>
          </w:p>
        </w:tc>
        <w:tc>
          <w:tcPr>
            <w:tcW w:w="1241" w:type="dxa"/>
            <w:vMerge/>
            <w:tcBorders>
              <w:left w:val="nil"/>
              <w:bottom w:val="single" w:sz="4" w:space="0" w:color="auto"/>
              <w:right w:val="single" w:sz="4" w:space="0" w:color="auto"/>
            </w:tcBorders>
            <w:shd w:val="clear" w:color="000000" w:fill="D9D9D9"/>
            <w:noWrap/>
            <w:vAlign w:val="bottom"/>
          </w:tcPr>
          <w:p w14:paraId="66772BE4" w14:textId="77777777" w:rsidR="00DC7FF2" w:rsidRPr="00DC7FF2" w:rsidRDefault="00DC7FF2" w:rsidP="00DC7FF2">
            <w:pPr>
              <w:jc w:val="center"/>
              <w:rPr>
                <w:rFonts w:ascii="Calibri" w:eastAsia="Times New Roman" w:hAnsi="Calibri" w:cs="Times New Roman"/>
                <w:color w:val="000000"/>
              </w:rPr>
            </w:pPr>
          </w:p>
        </w:tc>
      </w:tr>
      <w:tr w:rsidR="00DC7FF2" w:rsidRPr="00DC7FF2" w14:paraId="1C3D0DFA"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7AD4C0BA"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Amphibians</w:t>
            </w:r>
          </w:p>
        </w:tc>
        <w:tc>
          <w:tcPr>
            <w:tcW w:w="929" w:type="dxa"/>
            <w:tcBorders>
              <w:top w:val="nil"/>
              <w:left w:val="nil"/>
              <w:bottom w:val="single" w:sz="8" w:space="0" w:color="auto"/>
              <w:right w:val="single" w:sz="8" w:space="0" w:color="auto"/>
            </w:tcBorders>
            <w:shd w:val="clear" w:color="auto" w:fill="auto"/>
            <w:vAlign w:val="center"/>
          </w:tcPr>
          <w:p w14:paraId="4EF28ED7"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4A5E9DE7"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25</w:t>
            </w:r>
          </w:p>
        </w:tc>
        <w:tc>
          <w:tcPr>
            <w:tcW w:w="1161" w:type="dxa"/>
            <w:tcBorders>
              <w:top w:val="nil"/>
              <w:left w:val="nil"/>
              <w:bottom w:val="single" w:sz="8" w:space="0" w:color="auto"/>
              <w:right w:val="single" w:sz="8" w:space="0" w:color="auto"/>
            </w:tcBorders>
            <w:shd w:val="clear" w:color="auto" w:fill="auto"/>
            <w:noWrap/>
            <w:vAlign w:val="center"/>
            <w:hideMark/>
          </w:tcPr>
          <w:p w14:paraId="2ADC91EB" w14:textId="60D683D9" w:rsidR="00DC7FF2" w:rsidRPr="00DC7FF2" w:rsidRDefault="00726819" w:rsidP="00DC7FF2">
            <w:pPr>
              <w:jc w:val="center"/>
              <w:rPr>
                <w:rFonts w:ascii="Calibri" w:eastAsia="Times New Roman" w:hAnsi="Calibri" w:cs="Times New Roman"/>
                <w:color w:val="000000"/>
              </w:rPr>
            </w:pPr>
            <w:r>
              <w:rPr>
                <w:rFonts w:ascii="Calibri" w:eastAsia="Times New Roman" w:hAnsi="Calibri" w:cs="Times New Roman"/>
                <w:color w:val="000000"/>
              </w:rPr>
              <w:t>0</w:t>
            </w:r>
          </w:p>
        </w:tc>
        <w:tc>
          <w:tcPr>
            <w:tcW w:w="1639" w:type="dxa"/>
            <w:tcBorders>
              <w:top w:val="nil"/>
              <w:left w:val="nil"/>
              <w:bottom w:val="single" w:sz="8" w:space="0" w:color="auto"/>
              <w:right w:val="single" w:sz="8" w:space="0" w:color="auto"/>
            </w:tcBorders>
            <w:shd w:val="clear" w:color="auto" w:fill="auto"/>
            <w:noWrap/>
            <w:vAlign w:val="center"/>
            <w:hideMark/>
          </w:tcPr>
          <w:p w14:paraId="6AD6A688" w14:textId="0162A108" w:rsidR="00DC7FF2" w:rsidRPr="00DC7FF2" w:rsidRDefault="00362E74" w:rsidP="00DC7FF2">
            <w:pPr>
              <w:jc w:val="center"/>
              <w:rPr>
                <w:rFonts w:ascii="Calibri" w:eastAsia="Times New Roman" w:hAnsi="Calibri" w:cs="Times New Roman"/>
                <w:color w:val="000000"/>
              </w:rPr>
            </w:pPr>
            <w:r>
              <w:rPr>
                <w:rFonts w:ascii="Calibri" w:eastAsia="Times New Roman" w:hAnsi="Calibri" w:cs="Times New Roman"/>
                <w:color w:val="000000"/>
              </w:rPr>
              <w:t>25</w:t>
            </w:r>
          </w:p>
        </w:tc>
        <w:tc>
          <w:tcPr>
            <w:tcW w:w="1241" w:type="dxa"/>
            <w:tcBorders>
              <w:top w:val="nil"/>
              <w:left w:val="nil"/>
              <w:bottom w:val="single" w:sz="8" w:space="0" w:color="auto"/>
              <w:right w:val="single" w:sz="8" w:space="0" w:color="auto"/>
            </w:tcBorders>
            <w:shd w:val="clear" w:color="auto" w:fill="auto"/>
            <w:noWrap/>
            <w:vAlign w:val="center"/>
            <w:hideMark/>
          </w:tcPr>
          <w:p w14:paraId="47BF982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25</w:t>
            </w:r>
          </w:p>
        </w:tc>
      </w:tr>
      <w:tr w:rsidR="00DC7FF2" w:rsidRPr="00DC7FF2" w14:paraId="0E2B102F"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6D4DE252"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Aquatic Invertebrates</w:t>
            </w:r>
          </w:p>
        </w:tc>
        <w:tc>
          <w:tcPr>
            <w:tcW w:w="929" w:type="dxa"/>
            <w:tcBorders>
              <w:top w:val="nil"/>
              <w:left w:val="nil"/>
              <w:bottom w:val="single" w:sz="8" w:space="0" w:color="auto"/>
              <w:right w:val="single" w:sz="8" w:space="0" w:color="auto"/>
            </w:tcBorders>
            <w:shd w:val="clear" w:color="auto" w:fill="auto"/>
            <w:vAlign w:val="center"/>
          </w:tcPr>
          <w:p w14:paraId="5FF04DF6"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20EBBF0B"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75</w:t>
            </w:r>
          </w:p>
        </w:tc>
        <w:tc>
          <w:tcPr>
            <w:tcW w:w="1161" w:type="dxa"/>
            <w:tcBorders>
              <w:top w:val="nil"/>
              <w:left w:val="nil"/>
              <w:bottom w:val="single" w:sz="8" w:space="0" w:color="auto"/>
              <w:right w:val="single" w:sz="8" w:space="0" w:color="auto"/>
            </w:tcBorders>
            <w:shd w:val="clear" w:color="auto" w:fill="auto"/>
            <w:noWrap/>
            <w:vAlign w:val="center"/>
            <w:hideMark/>
          </w:tcPr>
          <w:p w14:paraId="0F0CD953"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1639" w:type="dxa"/>
            <w:tcBorders>
              <w:top w:val="nil"/>
              <w:left w:val="nil"/>
              <w:bottom w:val="single" w:sz="8" w:space="0" w:color="auto"/>
              <w:right w:val="single" w:sz="8" w:space="0" w:color="auto"/>
            </w:tcBorders>
            <w:shd w:val="clear" w:color="auto" w:fill="auto"/>
            <w:noWrap/>
            <w:vAlign w:val="center"/>
            <w:hideMark/>
          </w:tcPr>
          <w:p w14:paraId="7AF9EDD6"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75</w:t>
            </w:r>
          </w:p>
        </w:tc>
        <w:tc>
          <w:tcPr>
            <w:tcW w:w="1241" w:type="dxa"/>
            <w:tcBorders>
              <w:top w:val="nil"/>
              <w:left w:val="nil"/>
              <w:bottom w:val="single" w:sz="8" w:space="0" w:color="auto"/>
              <w:right w:val="single" w:sz="8" w:space="0" w:color="auto"/>
            </w:tcBorders>
            <w:shd w:val="clear" w:color="auto" w:fill="auto"/>
            <w:noWrap/>
            <w:vAlign w:val="center"/>
            <w:hideMark/>
          </w:tcPr>
          <w:p w14:paraId="61261CC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75</w:t>
            </w:r>
          </w:p>
        </w:tc>
      </w:tr>
      <w:tr w:rsidR="00DC7FF2" w:rsidRPr="00DC7FF2" w14:paraId="7F3A1290"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2518814A"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Birds</w:t>
            </w:r>
          </w:p>
        </w:tc>
        <w:tc>
          <w:tcPr>
            <w:tcW w:w="929" w:type="dxa"/>
            <w:tcBorders>
              <w:top w:val="nil"/>
              <w:left w:val="nil"/>
              <w:bottom w:val="single" w:sz="8" w:space="0" w:color="auto"/>
              <w:right w:val="single" w:sz="8" w:space="0" w:color="auto"/>
            </w:tcBorders>
            <w:shd w:val="clear" w:color="auto" w:fill="auto"/>
            <w:vAlign w:val="center"/>
          </w:tcPr>
          <w:p w14:paraId="3824BFC9"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74DE5BEE"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31</w:t>
            </w:r>
          </w:p>
        </w:tc>
        <w:tc>
          <w:tcPr>
            <w:tcW w:w="1161" w:type="dxa"/>
            <w:tcBorders>
              <w:top w:val="nil"/>
              <w:left w:val="nil"/>
              <w:bottom w:val="single" w:sz="8" w:space="0" w:color="auto"/>
              <w:right w:val="single" w:sz="8" w:space="0" w:color="auto"/>
            </w:tcBorders>
            <w:shd w:val="clear" w:color="auto" w:fill="auto"/>
            <w:noWrap/>
            <w:vAlign w:val="center"/>
            <w:hideMark/>
          </w:tcPr>
          <w:p w14:paraId="1179B87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1639" w:type="dxa"/>
            <w:tcBorders>
              <w:top w:val="nil"/>
              <w:left w:val="nil"/>
              <w:bottom w:val="single" w:sz="8" w:space="0" w:color="auto"/>
              <w:right w:val="single" w:sz="8" w:space="0" w:color="auto"/>
            </w:tcBorders>
            <w:shd w:val="clear" w:color="auto" w:fill="auto"/>
            <w:noWrap/>
            <w:vAlign w:val="center"/>
            <w:hideMark/>
          </w:tcPr>
          <w:p w14:paraId="05A68294"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31</w:t>
            </w:r>
          </w:p>
        </w:tc>
        <w:tc>
          <w:tcPr>
            <w:tcW w:w="1241" w:type="dxa"/>
            <w:tcBorders>
              <w:top w:val="nil"/>
              <w:left w:val="nil"/>
              <w:bottom w:val="single" w:sz="8" w:space="0" w:color="auto"/>
              <w:right w:val="single" w:sz="8" w:space="0" w:color="auto"/>
            </w:tcBorders>
            <w:shd w:val="clear" w:color="auto" w:fill="auto"/>
            <w:noWrap/>
            <w:vAlign w:val="center"/>
            <w:hideMark/>
          </w:tcPr>
          <w:p w14:paraId="5FEC16F8"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31</w:t>
            </w:r>
          </w:p>
        </w:tc>
      </w:tr>
      <w:tr w:rsidR="00DC7FF2" w:rsidRPr="00DC7FF2" w14:paraId="0D03E350"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71E722C8"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Fish</w:t>
            </w:r>
          </w:p>
        </w:tc>
        <w:tc>
          <w:tcPr>
            <w:tcW w:w="929" w:type="dxa"/>
            <w:tcBorders>
              <w:top w:val="nil"/>
              <w:left w:val="nil"/>
              <w:bottom w:val="single" w:sz="8" w:space="0" w:color="auto"/>
              <w:right w:val="single" w:sz="8" w:space="0" w:color="auto"/>
            </w:tcBorders>
            <w:shd w:val="clear" w:color="auto" w:fill="auto"/>
            <w:vAlign w:val="center"/>
          </w:tcPr>
          <w:p w14:paraId="4B2E5841"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4BFC8A5B"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106</w:t>
            </w:r>
          </w:p>
        </w:tc>
        <w:tc>
          <w:tcPr>
            <w:tcW w:w="1161" w:type="dxa"/>
            <w:tcBorders>
              <w:top w:val="nil"/>
              <w:left w:val="nil"/>
              <w:bottom w:val="single" w:sz="8" w:space="0" w:color="auto"/>
              <w:right w:val="single" w:sz="8" w:space="0" w:color="auto"/>
            </w:tcBorders>
            <w:shd w:val="clear" w:color="auto" w:fill="auto"/>
            <w:noWrap/>
            <w:vAlign w:val="center"/>
            <w:hideMark/>
          </w:tcPr>
          <w:p w14:paraId="3254AF9C"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1639" w:type="dxa"/>
            <w:tcBorders>
              <w:top w:val="nil"/>
              <w:left w:val="nil"/>
              <w:bottom w:val="single" w:sz="8" w:space="0" w:color="auto"/>
              <w:right w:val="single" w:sz="8" w:space="0" w:color="auto"/>
            </w:tcBorders>
            <w:shd w:val="clear" w:color="auto" w:fill="auto"/>
            <w:noWrap/>
            <w:vAlign w:val="center"/>
            <w:hideMark/>
          </w:tcPr>
          <w:p w14:paraId="75E1B26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106</w:t>
            </w:r>
          </w:p>
        </w:tc>
        <w:tc>
          <w:tcPr>
            <w:tcW w:w="1241" w:type="dxa"/>
            <w:tcBorders>
              <w:top w:val="nil"/>
              <w:left w:val="nil"/>
              <w:bottom w:val="single" w:sz="8" w:space="0" w:color="auto"/>
              <w:right w:val="single" w:sz="8" w:space="0" w:color="auto"/>
            </w:tcBorders>
            <w:shd w:val="clear" w:color="auto" w:fill="auto"/>
            <w:noWrap/>
            <w:vAlign w:val="center"/>
            <w:hideMark/>
          </w:tcPr>
          <w:p w14:paraId="6E855B13"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106</w:t>
            </w:r>
          </w:p>
        </w:tc>
      </w:tr>
      <w:tr w:rsidR="00DC7FF2" w:rsidRPr="00DC7FF2" w14:paraId="378C11B3"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69342DD4"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Mammals</w:t>
            </w:r>
          </w:p>
        </w:tc>
        <w:tc>
          <w:tcPr>
            <w:tcW w:w="929" w:type="dxa"/>
            <w:tcBorders>
              <w:top w:val="nil"/>
              <w:left w:val="nil"/>
              <w:bottom w:val="single" w:sz="8" w:space="0" w:color="auto"/>
              <w:right w:val="single" w:sz="8" w:space="0" w:color="auto"/>
            </w:tcBorders>
            <w:shd w:val="clear" w:color="auto" w:fill="auto"/>
            <w:vAlign w:val="center"/>
          </w:tcPr>
          <w:p w14:paraId="11CF1FF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5209390A"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32</w:t>
            </w:r>
          </w:p>
        </w:tc>
        <w:tc>
          <w:tcPr>
            <w:tcW w:w="1161" w:type="dxa"/>
            <w:tcBorders>
              <w:top w:val="nil"/>
              <w:left w:val="nil"/>
              <w:bottom w:val="single" w:sz="8" w:space="0" w:color="auto"/>
              <w:right w:val="single" w:sz="8" w:space="0" w:color="auto"/>
            </w:tcBorders>
            <w:shd w:val="clear" w:color="auto" w:fill="auto"/>
            <w:noWrap/>
            <w:vAlign w:val="center"/>
            <w:hideMark/>
          </w:tcPr>
          <w:p w14:paraId="46DE2254" w14:textId="0D96C9B7" w:rsidR="00DC7FF2" w:rsidRPr="00DC7FF2" w:rsidRDefault="00726819" w:rsidP="00DC7FF2">
            <w:pPr>
              <w:jc w:val="center"/>
              <w:rPr>
                <w:rFonts w:ascii="Calibri" w:eastAsia="Times New Roman" w:hAnsi="Calibri" w:cs="Times New Roman"/>
                <w:color w:val="000000"/>
              </w:rPr>
            </w:pPr>
            <w:r>
              <w:rPr>
                <w:rFonts w:ascii="Calibri" w:eastAsia="Times New Roman" w:hAnsi="Calibri" w:cs="Times New Roman"/>
                <w:color w:val="000000"/>
              </w:rPr>
              <w:t>5</w:t>
            </w:r>
          </w:p>
        </w:tc>
        <w:tc>
          <w:tcPr>
            <w:tcW w:w="1639" w:type="dxa"/>
            <w:tcBorders>
              <w:top w:val="nil"/>
              <w:left w:val="nil"/>
              <w:bottom w:val="single" w:sz="8" w:space="0" w:color="auto"/>
              <w:right w:val="single" w:sz="8" w:space="0" w:color="auto"/>
            </w:tcBorders>
            <w:shd w:val="clear" w:color="auto" w:fill="auto"/>
            <w:noWrap/>
            <w:vAlign w:val="center"/>
            <w:hideMark/>
          </w:tcPr>
          <w:p w14:paraId="52D7C75B" w14:textId="0B30ED35" w:rsidR="00DC7FF2" w:rsidRPr="00DC7FF2" w:rsidRDefault="00726819" w:rsidP="00DC7FF2">
            <w:pPr>
              <w:jc w:val="center"/>
              <w:rPr>
                <w:rFonts w:ascii="Calibri" w:eastAsia="Times New Roman" w:hAnsi="Calibri" w:cs="Times New Roman"/>
                <w:color w:val="000000"/>
              </w:rPr>
            </w:pPr>
            <w:r>
              <w:rPr>
                <w:rFonts w:ascii="Calibri" w:eastAsia="Times New Roman" w:hAnsi="Calibri" w:cs="Times New Roman"/>
                <w:color w:val="000000"/>
              </w:rPr>
              <w:t>27</w:t>
            </w:r>
          </w:p>
        </w:tc>
        <w:tc>
          <w:tcPr>
            <w:tcW w:w="1241" w:type="dxa"/>
            <w:tcBorders>
              <w:top w:val="nil"/>
              <w:left w:val="nil"/>
              <w:bottom w:val="single" w:sz="8" w:space="0" w:color="auto"/>
              <w:right w:val="single" w:sz="8" w:space="0" w:color="auto"/>
            </w:tcBorders>
            <w:shd w:val="clear" w:color="auto" w:fill="auto"/>
            <w:noWrap/>
            <w:vAlign w:val="center"/>
            <w:hideMark/>
          </w:tcPr>
          <w:p w14:paraId="3B07DBE7"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32</w:t>
            </w:r>
          </w:p>
        </w:tc>
      </w:tr>
      <w:tr w:rsidR="00DC7FF2" w:rsidRPr="00DC7FF2" w14:paraId="6073438E"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138FBF45"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Plants</w:t>
            </w:r>
          </w:p>
        </w:tc>
        <w:tc>
          <w:tcPr>
            <w:tcW w:w="929" w:type="dxa"/>
            <w:tcBorders>
              <w:top w:val="nil"/>
              <w:left w:val="nil"/>
              <w:bottom w:val="single" w:sz="8" w:space="0" w:color="auto"/>
              <w:right w:val="single" w:sz="8" w:space="0" w:color="auto"/>
            </w:tcBorders>
            <w:shd w:val="clear" w:color="auto" w:fill="auto"/>
            <w:vAlign w:val="center"/>
          </w:tcPr>
          <w:p w14:paraId="0CA9793C"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5C9CAAFE"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462</w:t>
            </w:r>
          </w:p>
        </w:tc>
        <w:tc>
          <w:tcPr>
            <w:tcW w:w="1161" w:type="dxa"/>
            <w:tcBorders>
              <w:top w:val="nil"/>
              <w:left w:val="nil"/>
              <w:bottom w:val="single" w:sz="8" w:space="0" w:color="auto"/>
              <w:right w:val="single" w:sz="8" w:space="0" w:color="auto"/>
            </w:tcBorders>
            <w:shd w:val="clear" w:color="auto" w:fill="auto"/>
            <w:noWrap/>
            <w:vAlign w:val="center"/>
            <w:hideMark/>
          </w:tcPr>
          <w:p w14:paraId="0158B4F5"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3</w:t>
            </w:r>
          </w:p>
        </w:tc>
        <w:tc>
          <w:tcPr>
            <w:tcW w:w="1639" w:type="dxa"/>
            <w:tcBorders>
              <w:top w:val="nil"/>
              <w:left w:val="nil"/>
              <w:bottom w:val="single" w:sz="8" w:space="0" w:color="auto"/>
              <w:right w:val="single" w:sz="8" w:space="0" w:color="auto"/>
            </w:tcBorders>
            <w:shd w:val="clear" w:color="auto" w:fill="auto"/>
            <w:noWrap/>
            <w:vAlign w:val="center"/>
            <w:hideMark/>
          </w:tcPr>
          <w:p w14:paraId="4322D6F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459</w:t>
            </w:r>
          </w:p>
        </w:tc>
        <w:tc>
          <w:tcPr>
            <w:tcW w:w="1241" w:type="dxa"/>
            <w:tcBorders>
              <w:top w:val="nil"/>
              <w:left w:val="nil"/>
              <w:bottom w:val="single" w:sz="8" w:space="0" w:color="auto"/>
              <w:right w:val="single" w:sz="8" w:space="0" w:color="auto"/>
            </w:tcBorders>
            <w:shd w:val="clear" w:color="auto" w:fill="auto"/>
            <w:noWrap/>
            <w:vAlign w:val="center"/>
            <w:hideMark/>
          </w:tcPr>
          <w:p w14:paraId="2A9CE7BF"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462</w:t>
            </w:r>
          </w:p>
        </w:tc>
      </w:tr>
      <w:tr w:rsidR="00DC7FF2" w:rsidRPr="00DC7FF2" w14:paraId="6FA2C9C3"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40F38F21"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Reptiles</w:t>
            </w:r>
          </w:p>
        </w:tc>
        <w:tc>
          <w:tcPr>
            <w:tcW w:w="929" w:type="dxa"/>
            <w:tcBorders>
              <w:top w:val="nil"/>
              <w:left w:val="nil"/>
              <w:bottom w:val="single" w:sz="8" w:space="0" w:color="auto"/>
              <w:right w:val="single" w:sz="8" w:space="0" w:color="auto"/>
            </w:tcBorders>
            <w:shd w:val="clear" w:color="auto" w:fill="auto"/>
            <w:vAlign w:val="center"/>
          </w:tcPr>
          <w:p w14:paraId="5AC6B815"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1490E854"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17</w:t>
            </w:r>
          </w:p>
        </w:tc>
        <w:tc>
          <w:tcPr>
            <w:tcW w:w="1161" w:type="dxa"/>
            <w:tcBorders>
              <w:top w:val="nil"/>
              <w:left w:val="nil"/>
              <w:bottom w:val="single" w:sz="8" w:space="0" w:color="auto"/>
              <w:right w:val="single" w:sz="8" w:space="0" w:color="auto"/>
            </w:tcBorders>
            <w:shd w:val="clear" w:color="auto" w:fill="auto"/>
            <w:noWrap/>
            <w:vAlign w:val="center"/>
            <w:hideMark/>
          </w:tcPr>
          <w:p w14:paraId="162DAB2C" w14:textId="6CADE85E" w:rsidR="00DC7FF2" w:rsidRPr="00DC7FF2" w:rsidRDefault="00726819" w:rsidP="00DC7FF2">
            <w:pPr>
              <w:jc w:val="center"/>
              <w:rPr>
                <w:rFonts w:ascii="Calibri" w:eastAsia="Times New Roman" w:hAnsi="Calibri" w:cs="Times New Roman"/>
                <w:color w:val="000000"/>
              </w:rPr>
            </w:pPr>
            <w:r>
              <w:rPr>
                <w:rFonts w:ascii="Calibri" w:eastAsia="Times New Roman" w:hAnsi="Calibri" w:cs="Times New Roman"/>
                <w:color w:val="000000"/>
              </w:rPr>
              <w:t>0</w:t>
            </w:r>
          </w:p>
        </w:tc>
        <w:tc>
          <w:tcPr>
            <w:tcW w:w="1639" w:type="dxa"/>
            <w:tcBorders>
              <w:top w:val="nil"/>
              <w:left w:val="nil"/>
              <w:bottom w:val="single" w:sz="8" w:space="0" w:color="auto"/>
              <w:right w:val="single" w:sz="8" w:space="0" w:color="auto"/>
            </w:tcBorders>
            <w:shd w:val="clear" w:color="auto" w:fill="auto"/>
            <w:noWrap/>
            <w:vAlign w:val="center"/>
            <w:hideMark/>
          </w:tcPr>
          <w:p w14:paraId="710C637D" w14:textId="10B709BA" w:rsidR="00DC7FF2" w:rsidRPr="00DC7FF2" w:rsidRDefault="00726819" w:rsidP="00DC7FF2">
            <w:pPr>
              <w:jc w:val="center"/>
              <w:rPr>
                <w:rFonts w:ascii="Calibri" w:eastAsia="Times New Roman" w:hAnsi="Calibri" w:cs="Times New Roman"/>
                <w:color w:val="000000"/>
              </w:rPr>
            </w:pPr>
            <w:r>
              <w:rPr>
                <w:rFonts w:ascii="Calibri" w:eastAsia="Times New Roman" w:hAnsi="Calibri" w:cs="Times New Roman"/>
                <w:color w:val="000000"/>
              </w:rPr>
              <w:t>17</w:t>
            </w:r>
          </w:p>
        </w:tc>
        <w:tc>
          <w:tcPr>
            <w:tcW w:w="1241" w:type="dxa"/>
            <w:tcBorders>
              <w:top w:val="nil"/>
              <w:left w:val="nil"/>
              <w:bottom w:val="single" w:sz="8" w:space="0" w:color="auto"/>
              <w:right w:val="single" w:sz="8" w:space="0" w:color="auto"/>
            </w:tcBorders>
            <w:shd w:val="clear" w:color="auto" w:fill="auto"/>
            <w:noWrap/>
            <w:vAlign w:val="center"/>
            <w:hideMark/>
          </w:tcPr>
          <w:p w14:paraId="0351AE9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17</w:t>
            </w:r>
          </w:p>
        </w:tc>
      </w:tr>
      <w:tr w:rsidR="00DC7FF2" w:rsidRPr="00DC7FF2" w14:paraId="51354430"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auto" w:fill="auto"/>
            <w:noWrap/>
            <w:vAlign w:val="center"/>
            <w:hideMark/>
          </w:tcPr>
          <w:p w14:paraId="53233CEB"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Terrestrial Invertebrates</w:t>
            </w:r>
          </w:p>
        </w:tc>
        <w:tc>
          <w:tcPr>
            <w:tcW w:w="929" w:type="dxa"/>
            <w:tcBorders>
              <w:top w:val="nil"/>
              <w:left w:val="nil"/>
              <w:bottom w:val="single" w:sz="8" w:space="0" w:color="auto"/>
              <w:right w:val="single" w:sz="8" w:space="0" w:color="auto"/>
            </w:tcBorders>
            <w:shd w:val="clear" w:color="auto" w:fill="auto"/>
            <w:vAlign w:val="center"/>
          </w:tcPr>
          <w:p w14:paraId="09E4F6B0"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auto" w:fill="auto"/>
            <w:vAlign w:val="center"/>
          </w:tcPr>
          <w:p w14:paraId="2FD88652"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46</w:t>
            </w:r>
          </w:p>
        </w:tc>
        <w:tc>
          <w:tcPr>
            <w:tcW w:w="1161" w:type="dxa"/>
            <w:tcBorders>
              <w:top w:val="nil"/>
              <w:left w:val="nil"/>
              <w:bottom w:val="single" w:sz="8" w:space="0" w:color="auto"/>
              <w:right w:val="single" w:sz="8" w:space="0" w:color="auto"/>
            </w:tcBorders>
            <w:shd w:val="clear" w:color="auto" w:fill="auto"/>
            <w:noWrap/>
            <w:vAlign w:val="center"/>
            <w:hideMark/>
          </w:tcPr>
          <w:p w14:paraId="20A5BD1A"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2</w:t>
            </w:r>
          </w:p>
        </w:tc>
        <w:tc>
          <w:tcPr>
            <w:tcW w:w="1639" w:type="dxa"/>
            <w:tcBorders>
              <w:top w:val="nil"/>
              <w:left w:val="nil"/>
              <w:bottom w:val="single" w:sz="8" w:space="0" w:color="auto"/>
              <w:right w:val="single" w:sz="8" w:space="0" w:color="auto"/>
            </w:tcBorders>
            <w:shd w:val="clear" w:color="auto" w:fill="auto"/>
            <w:noWrap/>
            <w:vAlign w:val="center"/>
            <w:hideMark/>
          </w:tcPr>
          <w:p w14:paraId="11544299"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44</w:t>
            </w:r>
          </w:p>
        </w:tc>
        <w:tc>
          <w:tcPr>
            <w:tcW w:w="1241" w:type="dxa"/>
            <w:tcBorders>
              <w:top w:val="nil"/>
              <w:left w:val="nil"/>
              <w:bottom w:val="single" w:sz="8" w:space="0" w:color="auto"/>
              <w:right w:val="single" w:sz="8" w:space="0" w:color="auto"/>
            </w:tcBorders>
            <w:shd w:val="clear" w:color="auto" w:fill="auto"/>
            <w:noWrap/>
            <w:vAlign w:val="center"/>
            <w:hideMark/>
          </w:tcPr>
          <w:p w14:paraId="688BAB3D"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46</w:t>
            </w:r>
          </w:p>
        </w:tc>
      </w:tr>
      <w:tr w:rsidR="00DC7FF2" w:rsidRPr="00DC7FF2" w14:paraId="4047B50F" w14:textId="77777777" w:rsidTr="00015CE5">
        <w:trPr>
          <w:trHeight w:val="300"/>
          <w:jc w:val="center"/>
        </w:trPr>
        <w:tc>
          <w:tcPr>
            <w:tcW w:w="2164" w:type="dxa"/>
            <w:tcBorders>
              <w:top w:val="nil"/>
              <w:left w:val="single" w:sz="8" w:space="0" w:color="auto"/>
              <w:bottom w:val="single" w:sz="8" w:space="0" w:color="auto"/>
              <w:right w:val="single" w:sz="8" w:space="0" w:color="auto"/>
            </w:tcBorders>
            <w:shd w:val="clear" w:color="000000" w:fill="F2F2F2"/>
            <w:noWrap/>
            <w:vAlign w:val="center"/>
            <w:hideMark/>
          </w:tcPr>
          <w:p w14:paraId="0385B70A"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Total</w:t>
            </w:r>
          </w:p>
        </w:tc>
        <w:tc>
          <w:tcPr>
            <w:tcW w:w="929" w:type="dxa"/>
            <w:tcBorders>
              <w:top w:val="nil"/>
              <w:left w:val="nil"/>
              <w:bottom w:val="single" w:sz="8" w:space="0" w:color="auto"/>
              <w:right w:val="single" w:sz="8" w:space="0" w:color="auto"/>
            </w:tcBorders>
            <w:shd w:val="clear" w:color="000000" w:fill="F2F2F2"/>
            <w:vAlign w:val="center"/>
          </w:tcPr>
          <w:p w14:paraId="3BCBA6B1"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nil"/>
              <w:left w:val="nil"/>
              <w:bottom w:val="single" w:sz="8" w:space="0" w:color="auto"/>
              <w:right w:val="single" w:sz="8" w:space="0" w:color="auto"/>
            </w:tcBorders>
            <w:shd w:val="clear" w:color="000000" w:fill="F2F2F2"/>
            <w:vAlign w:val="center"/>
          </w:tcPr>
          <w:p w14:paraId="0EC6A6A6"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794</w:t>
            </w:r>
          </w:p>
        </w:tc>
        <w:tc>
          <w:tcPr>
            <w:tcW w:w="1161" w:type="dxa"/>
            <w:tcBorders>
              <w:top w:val="nil"/>
              <w:left w:val="nil"/>
              <w:bottom w:val="single" w:sz="8" w:space="0" w:color="auto"/>
              <w:right w:val="single" w:sz="8" w:space="0" w:color="auto"/>
            </w:tcBorders>
            <w:shd w:val="clear" w:color="000000" w:fill="F2F2F2"/>
            <w:noWrap/>
            <w:vAlign w:val="center"/>
            <w:hideMark/>
          </w:tcPr>
          <w:p w14:paraId="75F3F9AE" w14:textId="06144787" w:rsidR="00DC7FF2" w:rsidRPr="00DC7FF2" w:rsidRDefault="00362E74" w:rsidP="00DC7FF2">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639" w:type="dxa"/>
            <w:tcBorders>
              <w:top w:val="nil"/>
              <w:left w:val="nil"/>
              <w:bottom w:val="single" w:sz="8" w:space="0" w:color="auto"/>
              <w:right w:val="single" w:sz="8" w:space="0" w:color="auto"/>
            </w:tcBorders>
            <w:shd w:val="clear" w:color="000000" w:fill="F2F2F2"/>
            <w:noWrap/>
            <w:vAlign w:val="center"/>
            <w:hideMark/>
          </w:tcPr>
          <w:p w14:paraId="2BBE7E13" w14:textId="23A6F491" w:rsidR="00DC7FF2" w:rsidRPr="00DC7FF2" w:rsidRDefault="001437F4" w:rsidP="00DC7FF2">
            <w:pPr>
              <w:jc w:val="center"/>
              <w:rPr>
                <w:rFonts w:ascii="Calibri" w:eastAsia="Times New Roman" w:hAnsi="Calibri" w:cs="Times New Roman"/>
                <w:color w:val="000000"/>
              </w:rPr>
            </w:pPr>
            <w:r>
              <w:rPr>
                <w:rFonts w:ascii="Calibri" w:eastAsia="Times New Roman" w:hAnsi="Calibri" w:cs="Times New Roman"/>
                <w:color w:val="000000"/>
              </w:rPr>
              <w:t>784</w:t>
            </w:r>
            <w:bookmarkStart w:id="0" w:name="_GoBack"/>
            <w:bookmarkEnd w:id="0"/>
          </w:p>
        </w:tc>
        <w:tc>
          <w:tcPr>
            <w:tcW w:w="1241" w:type="dxa"/>
            <w:vMerge w:val="restart"/>
            <w:tcBorders>
              <w:top w:val="nil"/>
              <w:left w:val="nil"/>
              <w:right w:val="single" w:sz="8" w:space="0" w:color="auto"/>
            </w:tcBorders>
            <w:shd w:val="clear" w:color="000000" w:fill="D9D9D9"/>
            <w:noWrap/>
            <w:vAlign w:val="center"/>
            <w:hideMark/>
          </w:tcPr>
          <w:p w14:paraId="45F76E1A"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794</w:t>
            </w:r>
          </w:p>
        </w:tc>
      </w:tr>
      <w:tr w:rsidR="00DC7FF2" w:rsidRPr="00DC7FF2" w14:paraId="35148CC7" w14:textId="77777777" w:rsidTr="00015CE5">
        <w:trPr>
          <w:trHeight w:val="300"/>
          <w:jc w:val="center"/>
        </w:trPr>
        <w:tc>
          <w:tcPr>
            <w:tcW w:w="2164"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19F9E395" w14:textId="77777777" w:rsidR="00DC7FF2" w:rsidRPr="00DC7FF2" w:rsidRDefault="00DC7FF2" w:rsidP="00DC7FF2">
            <w:pPr>
              <w:rPr>
                <w:rFonts w:ascii="Calibri" w:eastAsia="Times New Roman" w:hAnsi="Calibri" w:cs="Times New Roman"/>
                <w:color w:val="000000"/>
              </w:rPr>
            </w:pPr>
            <w:r w:rsidRPr="00DC7FF2">
              <w:rPr>
                <w:rFonts w:ascii="Calibri" w:eastAsia="Times New Roman" w:hAnsi="Calibri" w:cs="Times New Roman"/>
                <w:color w:val="000000"/>
              </w:rPr>
              <w:t>Percent of Total Number of Critical Habitats (%)</w:t>
            </w:r>
          </w:p>
        </w:tc>
        <w:tc>
          <w:tcPr>
            <w:tcW w:w="929" w:type="dxa"/>
            <w:tcBorders>
              <w:top w:val="single" w:sz="4" w:space="0" w:color="auto"/>
              <w:left w:val="nil"/>
              <w:bottom w:val="single" w:sz="4" w:space="0" w:color="auto"/>
              <w:right w:val="single" w:sz="4" w:space="0" w:color="auto"/>
            </w:tcBorders>
            <w:shd w:val="clear" w:color="000000" w:fill="F2F2F2"/>
            <w:vAlign w:val="center"/>
          </w:tcPr>
          <w:p w14:paraId="229C8A85"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0</w:t>
            </w:r>
          </w:p>
        </w:tc>
        <w:tc>
          <w:tcPr>
            <w:tcW w:w="955" w:type="dxa"/>
            <w:tcBorders>
              <w:top w:val="single" w:sz="4" w:space="0" w:color="auto"/>
              <w:left w:val="single" w:sz="4" w:space="0" w:color="auto"/>
              <w:bottom w:val="single" w:sz="4" w:space="0" w:color="auto"/>
              <w:right w:val="single" w:sz="4" w:space="0" w:color="auto"/>
            </w:tcBorders>
            <w:shd w:val="clear" w:color="000000" w:fill="F2F2F2"/>
            <w:vAlign w:val="center"/>
          </w:tcPr>
          <w:p w14:paraId="6A7ADD6A"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100</w:t>
            </w:r>
          </w:p>
        </w:tc>
        <w:tc>
          <w:tcPr>
            <w:tcW w:w="1161"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068D2831"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2</w:t>
            </w:r>
          </w:p>
        </w:tc>
        <w:tc>
          <w:tcPr>
            <w:tcW w:w="1639" w:type="dxa"/>
            <w:tcBorders>
              <w:top w:val="single" w:sz="4" w:space="0" w:color="auto"/>
              <w:left w:val="nil"/>
              <w:bottom w:val="single" w:sz="4" w:space="0" w:color="auto"/>
              <w:right w:val="single" w:sz="4" w:space="0" w:color="auto"/>
            </w:tcBorders>
            <w:shd w:val="clear" w:color="000000" w:fill="F2F2F2"/>
            <w:noWrap/>
            <w:vAlign w:val="center"/>
          </w:tcPr>
          <w:p w14:paraId="704B9CDD" w14:textId="77777777" w:rsidR="00DC7FF2" w:rsidRPr="00DC7FF2" w:rsidRDefault="00DC7FF2" w:rsidP="00DC7FF2">
            <w:pPr>
              <w:jc w:val="center"/>
              <w:rPr>
                <w:rFonts w:ascii="Calibri" w:eastAsia="Times New Roman" w:hAnsi="Calibri" w:cs="Times New Roman"/>
                <w:color w:val="000000"/>
              </w:rPr>
            </w:pPr>
            <w:r w:rsidRPr="00DC7FF2">
              <w:rPr>
                <w:rFonts w:ascii="Calibri" w:eastAsia="Times New Roman" w:hAnsi="Calibri" w:cs="Times New Roman"/>
                <w:color w:val="000000"/>
              </w:rPr>
              <w:t>98</w:t>
            </w:r>
          </w:p>
        </w:tc>
        <w:tc>
          <w:tcPr>
            <w:tcW w:w="1241" w:type="dxa"/>
            <w:vMerge/>
            <w:tcBorders>
              <w:left w:val="nil"/>
              <w:bottom w:val="single" w:sz="4" w:space="0" w:color="auto"/>
              <w:right w:val="single" w:sz="8" w:space="0" w:color="auto"/>
            </w:tcBorders>
            <w:shd w:val="clear" w:color="000000" w:fill="D9D9D9"/>
            <w:noWrap/>
            <w:vAlign w:val="center"/>
          </w:tcPr>
          <w:p w14:paraId="1FCDCBEA" w14:textId="77777777" w:rsidR="00DC7FF2" w:rsidRPr="00DC7FF2" w:rsidRDefault="00DC7FF2" w:rsidP="00DC7FF2">
            <w:pPr>
              <w:jc w:val="center"/>
              <w:rPr>
                <w:rFonts w:ascii="Calibri" w:eastAsia="Times New Roman" w:hAnsi="Calibri" w:cs="Times New Roman"/>
                <w:color w:val="000000"/>
              </w:rPr>
            </w:pPr>
          </w:p>
        </w:tc>
      </w:tr>
    </w:tbl>
    <w:p w14:paraId="69488F55" w14:textId="77777777" w:rsidR="002F6F7A" w:rsidRPr="00FB1888" w:rsidRDefault="002F6F7A" w:rsidP="00C7373F"/>
    <w:sectPr w:rsidR="002F6F7A" w:rsidRPr="00FB1888" w:rsidSect="003461C5">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BC6D0" w14:textId="77777777" w:rsidR="00CD1977" w:rsidRDefault="00CD1977" w:rsidP="00330467">
      <w:r>
        <w:separator/>
      </w:r>
    </w:p>
  </w:endnote>
  <w:endnote w:type="continuationSeparator" w:id="0">
    <w:p w14:paraId="2764C428" w14:textId="77777777" w:rsidR="00CD1977" w:rsidRDefault="00CD1977" w:rsidP="0033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96929"/>
      <w:docPartObj>
        <w:docPartGallery w:val="Page Numbers (Bottom of Page)"/>
        <w:docPartUnique/>
      </w:docPartObj>
    </w:sdtPr>
    <w:sdtEndPr>
      <w:rPr>
        <w:noProof/>
      </w:rPr>
    </w:sdtEndPr>
    <w:sdtContent>
      <w:p w14:paraId="63822E6A" w14:textId="5B6791CD" w:rsidR="003461C5" w:rsidRDefault="003461C5">
        <w:pPr>
          <w:pStyle w:val="Footer"/>
          <w:jc w:val="center"/>
        </w:pPr>
        <w:r>
          <w:fldChar w:fldCharType="begin"/>
        </w:r>
        <w:r>
          <w:instrText xml:space="preserve"> PAGE   \* MERGEFORMAT </w:instrText>
        </w:r>
        <w:r>
          <w:fldChar w:fldCharType="separate"/>
        </w:r>
        <w:r w:rsidR="001437F4">
          <w:rPr>
            <w:noProof/>
          </w:rPr>
          <w:t>iii</w:t>
        </w:r>
        <w:r>
          <w:rPr>
            <w:noProof/>
          </w:rPr>
          <w:fldChar w:fldCharType="end"/>
        </w:r>
      </w:p>
    </w:sdtContent>
  </w:sdt>
  <w:p w14:paraId="2A2E88C6" w14:textId="77777777" w:rsidR="003461C5" w:rsidRDefault="003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5F57A" w14:textId="77777777" w:rsidR="00CD1977" w:rsidRDefault="00CD1977" w:rsidP="00330467">
      <w:r>
        <w:separator/>
      </w:r>
    </w:p>
  </w:footnote>
  <w:footnote w:type="continuationSeparator" w:id="0">
    <w:p w14:paraId="25575FCE" w14:textId="77777777" w:rsidR="00CD1977" w:rsidRDefault="00CD1977" w:rsidP="00330467">
      <w:r>
        <w:continuationSeparator/>
      </w:r>
    </w:p>
  </w:footnote>
  <w:footnote w:id="1">
    <w:p w14:paraId="427EB7D2" w14:textId="53477AFF" w:rsidR="00E61DA7" w:rsidRDefault="00E61DA7">
      <w:pPr>
        <w:pStyle w:val="FootnoteText"/>
      </w:pPr>
      <w:r>
        <w:rPr>
          <w:rStyle w:val="FootnoteReference"/>
        </w:rPr>
        <w:footnoteRef/>
      </w:r>
      <w:r>
        <w:t xml:space="preserve"> Interim approaches and agreement: </w:t>
      </w:r>
      <w:hyperlink r:id="rId1" w:history="1">
        <w:r w:rsidRPr="00E61DA7">
          <w:rPr>
            <w:rStyle w:val="Hyperlink"/>
          </w:rPr>
          <w:t>https://www.epa.gov/endangered-species/interim-approaches-pesticide-endangered-species-act-assessments-based-nas-report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67"/>
    <w:rsid w:val="000026ED"/>
    <w:rsid w:val="000072CB"/>
    <w:rsid w:val="00033DB4"/>
    <w:rsid w:val="00073594"/>
    <w:rsid w:val="00083B6C"/>
    <w:rsid w:val="000A1407"/>
    <w:rsid w:val="000A575F"/>
    <w:rsid w:val="000A6E22"/>
    <w:rsid w:val="000F4327"/>
    <w:rsid w:val="001020C8"/>
    <w:rsid w:val="0010233C"/>
    <w:rsid w:val="001107D6"/>
    <w:rsid w:val="00122E66"/>
    <w:rsid w:val="00126F63"/>
    <w:rsid w:val="001437F4"/>
    <w:rsid w:val="00143F04"/>
    <w:rsid w:val="00160CD1"/>
    <w:rsid w:val="00190605"/>
    <w:rsid w:val="001A3C45"/>
    <w:rsid w:val="001C2986"/>
    <w:rsid w:val="001C4866"/>
    <w:rsid w:val="00206309"/>
    <w:rsid w:val="0020724D"/>
    <w:rsid w:val="002144C9"/>
    <w:rsid w:val="00217285"/>
    <w:rsid w:val="00225062"/>
    <w:rsid w:val="00242799"/>
    <w:rsid w:val="002636EB"/>
    <w:rsid w:val="002716A0"/>
    <w:rsid w:val="00293E16"/>
    <w:rsid w:val="002D2A52"/>
    <w:rsid w:val="002F6F7A"/>
    <w:rsid w:val="00303446"/>
    <w:rsid w:val="00303C39"/>
    <w:rsid w:val="00330467"/>
    <w:rsid w:val="00330580"/>
    <w:rsid w:val="00335D48"/>
    <w:rsid w:val="00340C59"/>
    <w:rsid w:val="003461C5"/>
    <w:rsid w:val="0035065E"/>
    <w:rsid w:val="00362E74"/>
    <w:rsid w:val="003873C0"/>
    <w:rsid w:val="003B2CCB"/>
    <w:rsid w:val="003B4B31"/>
    <w:rsid w:val="003B4B69"/>
    <w:rsid w:val="003B6C80"/>
    <w:rsid w:val="003C3423"/>
    <w:rsid w:val="003C6E81"/>
    <w:rsid w:val="003D63A9"/>
    <w:rsid w:val="0044391F"/>
    <w:rsid w:val="00457E1B"/>
    <w:rsid w:val="00467DA9"/>
    <w:rsid w:val="00474F88"/>
    <w:rsid w:val="00477FD7"/>
    <w:rsid w:val="004B7AC3"/>
    <w:rsid w:val="004C5C58"/>
    <w:rsid w:val="004D0F93"/>
    <w:rsid w:val="004D1BDC"/>
    <w:rsid w:val="005012E2"/>
    <w:rsid w:val="00504FC6"/>
    <w:rsid w:val="00507E9A"/>
    <w:rsid w:val="00555EFB"/>
    <w:rsid w:val="005760B5"/>
    <w:rsid w:val="005807A5"/>
    <w:rsid w:val="00580A2F"/>
    <w:rsid w:val="005B5236"/>
    <w:rsid w:val="005C180C"/>
    <w:rsid w:val="005C5690"/>
    <w:rsid w:val="005E53CB"/>
    <w:rsid w:val="006008C7"/>
    <w:rsid w:val="006123E4"/>
    <w:rsid w:val="006153F1"/>
    <w:rsid w:val="00624D1B"/>
    <w:rsid w:val="00634B4C"/>
    <w:rsid w:val="00641ABE"/>
    <w:rsid w:val="00674268"/>
    <w:rsid w:val="006837D9"/>
    <w:rsid w:val="006B7254"/>
    <w:rsid w:val="006E289F"/>
    <w:rsid w:val="007166BF"/>
    <w:rsid w:val="0071784E"/>
    <w:rsid w:val="00726819"/>
    <w:rsid w:val="00733A4C"/>
    <w:rsid w:val="00761978"/>
    <w:rsid w:val="007655CF"/>
    <w:rsid w:val="00785131"/>
    <w:rsid w:val="007B79A6"/>
    <w:rsid w:val="007F332A"/>
    <w:rsid w:val="00802603"/>
    <w:rsid w:val="00822B4E"/>
    <w:rsid w:val="00872545"/>
    <w:rsid w:val="00875818"/>
    <w:rsid w:val="00890ADD"/>
    <w:rsid w:val="00893971"/>
    <w:rsid w:val="008D449E"/>
    <w:rsid w:val="008F3EFA"/>
    <w:rsid w:val="008F51AB"/>
    <w:rsid w:val="00920468"/>
    <w:rsid w:val="009269B6"/>
    <w:rsid w:val="00930D5F"/>
    <w:rsid w:val="00932D15"/>
    <w:rsid w:val="009341F6"/>
    <w:rsid w:val="009630C0"/>
    <w:rsid w:val="00971428"/>
    <w:rsid w:val="00982D77"/>
    <w:rsid w:val="009B0169"/>
    <w:rsid w:val="009B084C"/>
    <w:rsid w:val="009C68AE"/>
    <w:rsid w:val="009D72A8"/>
    <w:rsid w:val="00A048A0"/>
    <w:rsid w:val="00A250EC"/>
    <w:rsid w:val="00A52C4E"/>
    <w:rsid w:val="00A63BEF"/>
    <w:rsid w:val="00AB42AB"/>
    <w:rsid w:val="00AB7440"/>
    <w:rsid w:val="00AD4289"/>
    <w:rsid w:val="00AE52D0"/>
    <w:rsid w:val="00B14E21"/>
    <w:rsid w:val="00B32975"/>
    <w:rsid w:val="00B73B9F"/>
    <w:rsid w:val="00B85C2A"/>
    <w:rsid w:val="00B93E97"/>
    <w:rsid w:val="00BB4937"/>
    <w:rsid w:val="00BB7016"/>
    <w:rsid w:val="00BC1486"/>
    <w:rsid w:val="00BC7AF6"/>
    <w:rsid w:val="00BD61C4"/>
    <w:rsid w:val="00BF577E"/>
    <w:rsid w:val="00C01E44"/>
    <w:rsid w:val="00C1079F"/>
    <w:rsid w:val="00C13650"/>
    <w:rsid w:val="00C21087"/>
    <w:rsid w:val="00C22250"/>
    <w:rsid w:val="00C40778"/>
    <w:rsid w:val="00C41D89"/>
    <w:rsid w:val="00C57F9E"/>
    <w:rsid w:val="00C62721"/>
    <w:rsid w:val="00C633D9"/>
    <w:rsid w:val="00C700FB"/>
    <w:rsid w:val="00C7373F"/>
    <w:rsid w:val="00C8016A"/>
    <w:rsid w:val="00C9564C"/>
    <w:rsid w:val="00CB23DA"/>
    <w:rsid w:val="00CD1977"/>
    <w:rsid w:val="00CD3692"/>
    <w:rsid w:val="00CE1C66"/>
    <w:rsid w:val="00CE3D42"/>
    <w:rsid w:val="00D12DB0"/>
    <w:rsid w:val="00D15940"/>
    <w:rsid w:val="00D23232"/>
    <w:rsid w:val="00D40751"/>
    <w:rsid w:val="00D42D14"/>
    <w:rsid w:val="00D46BBB"/>
    <w:rsid w:val="00D72DE9"/>
    <w:rsid w:val="00D93E72"/>
    <w:rsid w:val="00DB0394"/>
    <w:rsid w:val="00DC7FF2"/>
    <w:rsid w:val="00DD3A5F"/>
    <w:rsid w:val="00DE0400"/>
    <w:rsid w:val="00DE73D0"/>
    <w:rsid w:val="00E50D2C"/>
    <w:rsid w:val="00E61DA7"/>
    <w:rsid w:val="00E91586"/>
    <w:rsid w:val="00ED4658"/>
    <w:rsid w:val="00ED538A"/>
    <w:rsid w:val="00F03042"/>
    <w:rsid w:val="00F42297"/>
    <w:rsid w:val="00F45B82"/>
    <w:rsid w:val="00F60E0D"/>
    <w:rsid w:val="00F67DCD"/>
    <w:rsid w:val="00F97AFB"/>
    <w:rsid w:val="00FA58A7"/>
    <w:rsid w:val="00FB02F3"/>
    <w:rsid w:val="00FB1888"/>
    <w:rsid w:val="00FB6FC6"/>
    <w:rsid w:val="00FB78E7"/>
    <w:rsid w:val="00FC5424"/>
    <w:rsid w:val="00FE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AF75038"/>
  <w15:docId w15:val="{F7EFB67A-7B55-4FF2-9D43-82C795DF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30467"/>
    <w:rPr>
      <w:rFonts w:ascii="Calibri" w:eastAsia="Calibri" w:hAnsi="Calibri" w:cs="Calibri"/>
      <w:color w:val="000000"/>
      <w:sz w:val="20"/>
      <w:szCs w:val="20"/>
    </w:rPr>
  </w:style>
  <w:style w:type="character" w:customStyle="1" w:styleId="FootnoteTextChar">
    <w:name w:val="Footnote Text Char"/>
    <w:basedOn w:val="DefaultParagraphFont"/>
    <w:link w:val="FootnoteText"/>
    <w:uiPriority w:val="99"/>
    <w:semiHidden/>
    <w:rsid w:val="00330467"/>
    <w:rPr>
      <w:rFonts w:ascii="Calibri" w:eastAsia="Calibri" w:hAnsi="Calibri" w:cs="Calibri"/>
      <w:color w:val="000000"/>
      <w:sz w:val="20"/>
      <w:szCs w:val="20"/>
    </w:rPr>
  </w:style>
  <w:style w:type="character" w:styleId="FootnoteReference">
    <w:name w:val="footnote reference"/>
    <w:basedOn w:val="DefaultParagraphFont"/>
    <w:uiPriority w:val="99"/>
    <w:unhideWhenUsed/>
    <w:rsid w:val="00330467"/>
    <w:rPr>
      <w:vertAlign w:val="superscript"/>
    </w:rPr>
  </w:style>
  <w:style w:type="character" w:styleId="Hyperlink">
    <w:name w:val="Hyperlink"/>
    <w:basedOn w:val="DefaultParagraphFont"/>
    <w:uiPriority w:val="99"/>
    <w:unhideWhenUsed/>
    <w:rsid w:val="00126F63"/>
    <w:rPr>
      <w:color w:val="0563C1" w:themeColor="hyperlink"/>
      <w:u w:val="single"/>
    </w:rPr>
  </w:style>
  <w:style w:type="table" w:styleId="TableGrid">
    <w:name w:val="Table Grid"/>
    <w:basedOn w:val="TableNormal"/>
    <w:uiPriority w:val="39"/>
    <w:rsid w:val="00102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52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236"/>
    <w:rPr>
      <w:rFonts w:ascii="Segoe UI" w:hAnsi="Segoe UI" w:cs="Segoe UI"/>
      <w:sz w:val="18"/>
      <w:szCs w:val="18"/>
    </w:rPr>
  </w:style>
  <w:style w:type="character" w:styleId="CommentReference">
    <w:name w:val="annotation reference"/>
    <w:basedOn w:val="DefaultParagraphFont"/>
    <w:uiPriority w:val="99"/>
    <w:semiHidden/>
    <w:unhideWhenUsed/>
    <w:rsid w:val="005B5236"/>
    <w:rPr>
      <w:sz w:val="16"/>
      <w:szCs w:val="16"/>
    </w:rPr>
  </w:style>
  <w:style w:type="paragraph" w:styleId="CommentText">
    <w:name w:val="annotation text"/>
    <w:basedOn w:val="Normal"/>
    <w:link w:val="CommentTextChar"/>
    <w:uiPriority w:val="99"/>
    <w:semiHidden/>
    <w:unhideWhenUsed/>
    <w:rsid w:val="005B5236"/>
    <w:rPr>
      <w:sz w:val="20"/>
      <w:szCs w:val="20"/>
    </w:rPr>
  </w:style>
  <w:style w:type="character" w:customStyle="1" w:styleId="CommentTextChar">
    <w:name w:val="Comment Text Char"/>
    <w:basedOn w:val="DefaultParagraphFont"/>
    <w:link w:val="CommentText"/>
    <w:uiPriority w:val="99"/>
    <w:semiHidden/>
    <w:rsid w:val="005B5236"/>
    <w:rPr>
      <w:sz w:val="20"/>
      <w:szCs w:val="20"/>
    </w:rPr>
  </w:style>
  <w:style w:type="paragraph" w:styleId="CommentSubject">
    <w:name w:val="annotation subject"/>
    <w:basedOn w:val="CommentText"/>
    <w:next w:val="CommentText"/>
    <w:link w:val="CommentSubjectChar"/>
    <w:uiPriority w:val="99"/>
    <w:semiHidden/>
    <w:unhideWhenUsed/>
    <w:rsid w:val="005B5236"/>
    <w:rPr>
      <w:b/>
      <w:bCs/>
    </w:rPr>
  </w:style>
  <w:style w:type="character" w:customStyle="1" w:styleId="CommentSubjectChar">
    <w:name w:val="Comment Subject Char"/>
    <w:basedOn w:val="CommentTextChar"/>
    <w:link w:val="CommentSubject"/>
    <w:uiPriority w:val="99"/>
    <w:semiHidden/>
    <w:rsid w:val="005B5236"/>
    <w:rPr>
      <w:b/>
      <w:bCs/>
      <w:sz w:val="20"/>
      <w:szCs w:val="20"/>
    </w:rPr>
  </w:style>
  <w:style w:type="paragraph" w:styleId="Header">
    <w:name w:val="header"/>
    <w:basedOn w:val="Normal"/>
    <w:link w:val="HeaderChar"/>
    <w:uiPriority w:val="99"/>
    <w:unhideWhenUsed/>
    <w:rsid w:val="003461C5"/>
    <w:pPr>
      <w:tabs>
        <w:tab w:val="center" w:pos="4680"/>
        <w:tab w:val="right" w:pos="9360"/>
      </w:tabs>
    </w:pPr>
  </w:style>
  <w:style w:type="character" w:customStyle="1" w:styleId="HeaderChar">
    <w:name w:val="Header Char"/>
    <w:basedOn w:val="DefaultParagraphFont"/>
    <w:link w:val="Header"/>
    <w:uiPriority w:val="99"/>
    <w:rsid w:val="003461C5"/>
  </w:style>
  <w:style w:type="paragraph" w:styleId="Footer">
    <w:name w:val="footer"/>
    <w:basedOn w:val="Normal"/>
    <w:link w:val="FooterChar"/>
    <w:uiPriority w:val="99"/>
    <w:unhideWhenUsed/>
    <w:rsid w:val="003461C5"/>
    <w:pPr>
      <w:tabs>
        <w:tab w:val="center" w:pos="4680"/>
        <w:tab w:val="right" w:pos="9360"/>
      </w:tabs>
    </w:pPr>
  </w:style>
  <w:style w:type="character" w:customStyle="1" w:styleId="FooterChar">
    <w:name w:val="Footer Char"/>
    <w:basedOn w:val="DefaultParagraphFont"/>
    <w:link w:val="Footer"/>
    <w:uiPriority w:val="99"/>
    <w:rsid w:val="0034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659">
      <w:bodyDiv w:val="1"/>
      <w:marLeft w:val="0"/>
      <w:marRight w:val="0"/>
      <w:marTop w:val="0"/>
      <w:marBottom w:val="0"/>
      <w:divBdr>
        <w:top w:val="none" w:sz="0" w:space="0" w:color="auto"/>
        <w:left w:val="none" w:sz="0" w:space="0" w:color="auto"/>
        <w:bottom w:val="none" w:sz="0" w:space="0" w:color="auto"/>
        <w:right w:val="none" w:sz="0" w:space="0" w:color="auto"/>
      </w:divBdr>
    </w:div>
    <w:div w:id="201065301">
      <w:bodyDiv w:val="1"/>
      <w:marLeft w:val="0"/>
      <w:marRight w:val="0"/>
      <w:marTop w:val="0"/>
      <w:marBottom w:val="0"/>
      <w:divBdr>
        <w:top w:val="none" w:sz="0" w:space="0" w:color="auto"/>
        <w:left w:val="none" w:sz="0" w:space="0" w:color="auto"/>
        <w:bottom w:val="none" w:sz="0" w:space="0" w:color="auto"/>
        <w:right w:val="none" w:sz="0" w:space="0" w:color="auto"/>
      </w:divBdr>
    </w:div>
    <w:div w:id="5475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pa.gov/endangered-species/provisional-models-endangered-species-pesticide-assessmen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pa.gov/endangered-species/interim-approaches-pesticide-endangered-species-act-assessments-based-na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4AC8A-817E-49F2-8D5A-6CDC44A0D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 Fish &amp; Wildlife Service</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Panger, Melissa</dc:creator>
  <cp:lastModifiedBy>Connolly, Jennifer</cp:lastModifiedBy>
  <cp:revision>5</cp:revision>
  <dcterms:created xsi:type="dcterms:W3CDTF">2017-01-11T21:33:00Z</dcterms:created>
  <dcterms:modified xsi:type="dcterms:W3CDTF">2017-01-12T04:27:00Z</dcterms:modified>
</cp:coreProperties>
</file>