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(hydr)oxides,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637C9234"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(hydr)oxides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suggest that </w:t>
      </w:r>
      <w:r w:rsidR="00D923B5" w:rsidRPr="00CC0E5C">
        <w:rPr>
          <w:rFonts w:ascii="Times New Roman" w:hAnsi="Times New Roman"/>
          <w:sz w:val="24"/>
          <w:szCs w:val="24"/>
        </w:rPr>
        <w:lastRenderedPageBreak/>
        <w:t xml:space="preserve">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may not be sufficient to explain and predict spatio-temporal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504F9581"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sufficient to persist within environmental systems and present a risk for human exposure.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(half-life of 1600 years)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5FB3F4E3"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primary process sourcing Ra to groundwater.  Ongoing alpha recoil progressively elevates porewater Ra activities until hydrologic flushing removes the equilibrating solution, or Ra achieves secular equilibrium with its parent radionuclides.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Bq/L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Further, high levels of Ra are often present with deeper formations, particularly shales, where low groundwater flux yield potentially hazardous activities (0.102-343 Bq/L)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6,7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w:t>
      </w:r>
      <w:r w:rsidR="00467D2D" w:rsidRPr="003755E6">
        <w:rPr>
          <w:rFonts w:ascii="Times New Roman" w:hAnsi="Times New Roman"/>
          <w:sz w:val="24"/>
          <w:szCs w:val="24"/>
        </w:rPr>
        <w:lastRenderedPageBreak/>
        <w:t>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2AA1C88D" w:rsidR="00467D2D"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(aq)</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"&lt;sup&gt;8&lt;/sup&gt;", "plainTextFormattedCitation" : "8", "previouslyFormattedCitation" : "&lt;sup&gt;8&lt;/sup&gt;"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8</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"&lt;sup&gt;9,10&lt;/sup&gt;", "plainTextFormattedCitation" : "9,10", "previouslyFormattedCitation" : "&lt;sup&gt;9,10&lt;/sup&gt;"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9,10</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mM)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p>
    <w:p w14:paraId="6CE157BD" w14:textId="22216082" w:rsidR="00467D2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Soil and sedimentary minerals known to sorb appreciable quantities of Ra include metal (hydr)oxides and 2:1 clays with an exchangeable interlayer. However, previous data are primarily derived from Ra sorption experiments using mineralogically heterogeneous soil and sedimentary solids, </w:t>
      </w:r>
      <w:r w:rsidR="00833B1F">
        <w:rPr>
          <w:rFonts w:ascii="Times New Roman" w:hAnsi="Times New Roman"/>
          <w:sz w:val="24"/>
          <w:szCs w:val="24"/>
        </w:rPr>
        <w:t xml:space="preserve">and fewer studies have examined Ra sorption to </w:t>
      </w:r>
      <w:r>
        <w:rPr>
          <w:rFonts w:ascii="Times New Roman" w:hAnsi="Times New Roman"/>
          <w:sz w:val="24"/>
          <w:szCs w:val="24"/>
        </w:rPr>
        <w:t>single minerals with simple electrolyte solutions. This has generated a w</w:t>
      </w:r>
      <w:r w:rsidRPr="003755E6">
        <w:rPr>
          <w:rFonts w:ascii="Times New Roman" w:hAnsi="Times New Roman"/>
          <w:sz w:val="24"/>
          <w:szCs w:val="24"/>
        </w:rPr>
        <w:t xml:space="preserve">ealth of </w:t>
      </w:r>
      <w:r>
        <w:rPr>
          <w:rFonts w:ascii="Times New Roman" w:hAnsi="Times New Roman"/>
          <w:sz w:val="24"/>
          <w:szCs w:val="24"/>
        </w:rPr>
        <w:t xml:space="preserve">reported </w:t>
      </w:r>
      <w:r w:rsidRPr="003755E6">
        <w:rPr>
          <w:rFonts w:ascii="Times New Roman" w:hAnsi="Times New Roman"/>
          <w:sz w:val="24"/>
          <w:szCs w:val="24"/>
        </w:rPr>
        <w:t>K</w:t>
      </w:r>
      <w:r w:rsidRPr="00AC51DB">
        <w:rPr>
          <w:rFonts w:ascii="Times New Roman" w:hAnsi="Times New Roman"/>
          <w:sz w:val="24"/>
          <w:szCs w:val="24"/>
          <w:vertAlign w:val="subscript"/>
        </w:rPr>
        <w:t>d</w:t>
      </w:r>
      <w:r>
        <w:rPr>
          <w:rFonts w:ascii="Times New Roman" w:hAnsi="Times New Roman"/>
          <w:sz w:val="24"/>
          <w:szCs w:val="24"/>
        </w:rPr>
        <w:t xml:space="preserve"> values for Ra sorption to different soil and aquifer materials</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deciphering </w:t>
      </w:r>
      <w:r w:rsidR="00833B1F">
        <w:rPr>
          <w:rFonts w:ascii="Times New Roman" w:hAnsi="Times New Roman"/>
          <w:sz w:val="24"/>
          <w:szCs w:val="24"/>
        </w:rPr>
        <w:t>the importance of specific minerals with respect to</w:t>
      </w:r>
      <w:r w:rsidR="000B4FE4">
        <w:rPr>
          <w:rFonts w:ascii="Times New Roman" w:hAnsi="Times New Roman"/>
          <w:sz w:val="24"/>
          <w:szCs w:val="24"/>
        </w:rPr>
        <w:t xml:space="preserve"> </w:t>
      </w:r>
      <w:r>
        <w:rPr>
          <w:rFonts w:ascii="Times New Roman" w:hAnsi="Times New Roman"/>
          <w:sz w:val="24"/>
          <w:szCs w:val="24"/>
        </w:rPr>
        <w:t>Ra sorption</w:t>
      </w:r>
      <w:r w:rsidR="00833B1F">
        <w:rPr>
          <w:rFonts w:ascii="Times New Roman" w:hAnsi="Times New Roman"/>
          <w:sz w:val="24"/>
          <w:szCs w:val="24"/>
        </w:rPr>
        <w:t xml:space="preserve"> under variable</w:t>
      </w:r>
      <w:r w:rsidR="005F633D">
        <w:rPr>
          <w:rFonts w:ascii="Times New Roman" w:hAnsi="Times New Roman"/>
          <w:sz w:val="24"/>
          <w:szCs w:val="24"/>
        </w:rPr>
        <w:t xml:space="preserve"> geochemical</w:t>
      </w:r>
      <w:r w:rsidR="00833B1F">
        <w:rPr>
          <w:rFonts w:ascii="Times New Roman" w:hAnsi="Times New Roman"/>
          <w:sz w:val="24"/>
          <w:szCs w:val="24"/>
        </w:rPr>
        <w:t xml:space="preserve"> conditions, </w:t>
      </w:r>
      <w:r w:rsidR="005F633D">
        <w:rPr>
          <w:rFonts w:ascii="Times New Roman" w:hAnsi="Times New Roman"/>
          <w:sz w:val="24"/>
          <w:szCs w:val="24"/>
        </w:rPr>
        <w:t>especially when competing cations are present in solution</w:t>
      </w:r>
      <w:r>
        <w:rPr>
          <w:rFonts w:ascii="Times New Roman" w:hAnsi="Times New Roman"/>
          <w:sz w:val="24"/>
          <w:szCs w:val="24"/>
        </w:rPr>
        <w:t xml:space="preserve">. It is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few studies that examine </w:t>
      </w:r>
      <w:r w:rsidR="00011BE6">
        <w:rPr>
          <w:rFonts w:ascii="Times New Roman" w:hAnsi="Times New Roman"/>
          <w:sz w:val="24"/>
          <w:szCs w:val="24"/>
        </w:rPr>
        <w:t xml:space="preserve">the competition </w:t>
      </w:r>
      <w:r w:rsidR="00383503">
        <w:rPr>
          <w:rFonts w:ascii="Times New Roman" w:hAnsi="Times New Roman"/>
          <w:sz w:val="24"/>
          <w:szCs w:val="24"/>
        </w:rPr>
        <w:t xml:space="preserve">of different cations </w:t>
      </w:r>
      <w:r w:rsidR="00011BE6">
        <w:rPr>
          <w:rFonts w:ascii="Times New Roman" w:hAnsi="Times New Roman"/>
          <w:sz w:val="24"/>
          <w:szCs w:val="24"/>
        </w:rPr>
        <w:t>with Ra on sorption to different minerals</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5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11</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There is a paucity of data regarding Ra adsorption to redox-sensitive minerals found under suboxic or reducing conditions. These </w:t>
      </w:r>
      <w:r>
        <w:rPr>
          <w:rFonts w:ascii="Times New Roman" w:hAnsi="Times New Roman"/>
          <w:sz w:val="24"/>
          <w:szCs w:val="24"/>
        </w:rPr>
        <w:lastRenderedPageBreak/>
        <w:t xml:space="preserve">solids, including metal sulfides such as pyrite, may be particularly important within soil and aquifer systems derived from shale, and also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044B64A3"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Ra stock in 3% HCl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"&lt;sup&gt;12&lt;/sup&gt;", "plainTextFormattedCitation" : "12", "previouslyFormattedCitation" : "&lt;sup&gt;12&lt;/sup&gt;"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12</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13</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w:t>
      </w:r>
      <w:r w:rsidRPr="003755E6">
        <w:rPr>
          <w:rFonts w:ascii="Times New Roman" w:hAnsi="Times New Roman"/>
          <w:sz w:val="24"/>
          <w:szCs w:val="24"/>
        </w:rPr>
        <w:lastRenderedPageBreak/>
        <w:t>(H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It was then washed in 6 N HCl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3C6A45C3"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Bq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mM NaCl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at pH 7 +/- 0.05 using 10 mM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KCl, SrCl</w:t>
      </w:r>
      <w:r>
        <w:rPr>
          <w:rFonts w:ascii="Times New Roman" w:hAnsi="Times New Roman"/>
          <w:sz w:val="24"/>
          <w:szCs w:val="24"/>
          <w:vertAlign w:val="subscript"/>
        </w:rPr>
        <w:t>2,</w:t>
      </w:r>
      <w:r>
        <w:rPr>
          <w:rFonts w:ascii="Times New Roman" w:hAnsi="Times New Roman"/>
          <w:sz w:val="24"/>
          <w:szCs w:val="24"/>
        </w:rPr>
        <w:t xml:space="preserve"> or a 10 meq/L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meq/L artificial brackish water (ABW) and 800 meq/L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sub-oxic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8C518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8C5187" w:rsidRPr="008C518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(HCl) and base (NaOH)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 xml:space="preserve">volume. Once re-titration and re-equilibration were complete, samples were filtered using 0.22 µm PES </w:t>
      </w:r>
      <w:r w:rsidRPr="003755E6">
        <w:rPr>
          <w:rFonts w:ascii="Times New Roman" w:hAnsi="Times New Roman"/>
          <w:sz w:val="24"/>
          <w:szCs w:val="24"/>
        </w:rPr>
        <w:lastRenderedPageBreak/>
        <w:t>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A7CEEE7"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C3ECD">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7 }, "schema" : "https://github.com/citation-style-language/schema/raw/master/csl-citation.json" }</w:instrText>
      </w:r>
      <w:r w:rsidR="001C3ECD">
        <w:rPr>
          <w:rFonts w:ascii="Times New Roman" w:hAnsi="Times New Roman"/>
          <w:sz w:val="24"/>
          <w:szCs w:val="24"/>
        </w:rPr>
        <w:fldChar w:fldCharType="separate"/>
      </w:r>
      <w:r w:rsidR="001C3ECD" w:rsidRPr="001C3ECD">
        <w:rPr>
          <w:rFonts w:ascii="Times New Roman" w:hAnsi="Times New Roman"/>
          <w:noProof/>
          <w:sz w:val="24"/>
          <w:szCs w:val="24"/>
          <w:vertAlign w:val="superscript"/>
        </w:rPr>
        <w:t>15</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"&lt;sup&gt;16&lt;/sup&gt;", "plainTextFormattedCitation" : "16", "previouslyFormattedCitation" : "&lt;sup&gt;16&lt;/sup&gt;" }, "properties" : { "noteIndex" : 7 }, "schema" : "https://github.com/citation-style-language/schema/raw/master/csl-citation.json" }</w:instrText>
      </w:r>
      <w:r w:rsidR="00A4152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16</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n all cases, a double diffuse layer formulation is used for SCM, following Dzombak and Morel’s generalized two layer model, except for pyrite, where fitting attempts were unsuccessful.</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Ra surface complexes were derived from group II cation 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"&lt;sup&gt;17\u201324&lt;/sup&gt;", "plainTextFormattedCitation" : "17\u201324", "previouslyFormattedCitation" : "&lt;sup&gt;17\u201324&lt;/sup&gt;"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17–24</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 xml:space="preserve">discussion </w:t>
      </w:r>
      <w:r w:rsidR="004D72EC">
        <w:rPr>
          <w:rFonts w:ascii="Times New Roman" w:hAnsi="Times New Roman"/>
          <w:sz w:val="24"/>
          <w:szCs w:val="24"/>
        </w:rPr>
        <w:lastRenderedPageBreak/>
        <w:t>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490189A7"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All isotherms using 10 mM NaCl were linear in the range of activities considered (figure S1), and thus each were fitted to a line using a least squares method, whose slope corresponds to the (mass normalized) K</w:t>
      </w:r>
      <w:r>
        <w:rPr>
          <w:rFonts w:ascii="Times New Roman" w:hAnsi="Times New Roman"/>
          <w:sz w:val="24"/>
          <w:szCs w:val="24"/>
          <w:vertAlign w:val="subscript"/>
        </w:rPr>
        <w:t>d</w:t>
      </w:r>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(hydr)</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(hydr)</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itted K</w:t>
      </w:r>
      <w:r>
        <w:rPr>
          <w:rFonts w:ascii="Times New Roman" w:hAnsi="Times New Roman"/>
          <w:sz w:val="24"/>
          <w:szCs w:val="24"/>
          <w:vertAlign w:val="subscript"/>
        </w:rPr>
        <w:t xml:space="preserve">d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K</w:t>
      </w:r>
      <w:r>
        <w:rPr>
          <w:rFonts w:ascii="Times New Roman" w:hAnsi="Times New Roman"/>
          <w:sz w:val="24"/>
          <w:szCs w:val="24"/>
          <w:vertAlign w:val="subscript"/>
        </w:rPr>
        <w:t>sa</w:t>
      </w:r>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t circumneutral pH, goethite and ferrihydrite have close K</w:t>
      </w:r>
      <w:r w:rsidRPr="003755E6">
        <w:rPr>
          <w:rFonts w:ascii="Times New Roman" w:hAnsi="Times New Roman"/>
          <w:sz w:val="24"/>
          <w:szCs w:val="24"/>
          <w:vertAlign w:val="subscript"/>
        </w:rPr>
        <w:t>sa</w:t>
      </w:r>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r w:rsidR="004D72EC">
        <w:rPr>
          <w:rFonts w:ascii="Times New Roman" w:hAnsi="Times New Roman"/>
          <w:sz w:val="24"/>
          <w:szCs w:val="24"/>
        </w:rPr>
        <w:t>coordinations</w:t>
      </w:r>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"&lt;sup&gt;25,26&lt;/sup&gt;", "plainTextFormattedCitation" : "25,26", "previouslyFormattedCitation" : "&lt;sup&gt;25,26&lt;/sup&gt;" }, "properties" : { "noteIndex" : 9 }, "schema" : "https://github.com/citation-style-language/schema/raw/master/csl-citation.json" }</w:instrText>
      </w:r>
      <w:r w:rsidR="004D72EC">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25,26</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"&lt;sup&gt;11,14&lt;/sup&gt;", "plainTextFormattedCitation" : "11,14", "previouslyFormattedCitation" : "&lt;sup&gt;11,14&lt;/sup&gt;"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The K</w:t>
      </w:r>
      <w:r w:rsidRPr="003755E6">
        <w:rPr>
          <w:rFonts w:ascii="Times New Roman" w:hAnsi="Times New Roman"/>
          <w:sz w:val="24"/>
          <w:szCs w:val="24"/>
        </w:rPr>
        <w:softHyphen/>
      </w:r>
      <w:r w:rsidRPr="003755E6">
        <w:rPr>
          <w:rFonts w:ascii="Times New Roman" w:hAnsi="Times New Roman"/>
          <w:sz w:val="24"/>
          <w:szCs w:val="24"/>
          <w:vertAlign w:val="subscript"/>
        </w:rPr>
        <w:t xml:space="preserve">d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but was also performed at lower background ionic strength (here, 10 mM</w:t>
      </w:r>
      <w:r>
        <w:rPr>
          <w:rFonts w:ascii="Times New Roman" w:hAnsi="Times New Roman"/>
          <w:sz w:val="24"/>
          <w:szCs w:val="24"/>
        </w:rPr>
        <w:t xml:space="preserve"> NaCl</w:t>
      </w:r>
      <w:r w:rsidRPr="003755E6">
        <w:rPr>
          <w:rFonts w:ascii="Times New Roman" w:hAnsi="Times New Roman"/>
          <w:sz w:val="24"/>
          <w:szCs w:val="24"/>
        </w:rPr>
        <w:t>, others, 100-500 mM)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K</w:t>
      </w:r>
      <w:r>
        <w:rPr>
          <w:rFonts w:ascii="Times New Roman" w:hAnsi="Times New Roman"/>
          <w:sz w:val="24"/>
          <w:szCs w:val="24"/>
          <w:vertAlign w:val="subscript"/>
        </w:rPr>
        <w:t>sa</w:t>
      </w:r>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w:t>
      </w:r>
      <w:r>
        <w:rPr>
          <w:rFonts w:ascii="Times New Roman" w:hAnsi="Times New Roman"/>
          <w:sz w:val="24"/>
          <w:szCs w:val="24"/>
        </w:rPr>
        <w:lastRenderedPageBreak/>
        <w:t xml:space="preserve">solution ionic strength matching with </w:t>
      </w:r>
      <w:r w:rsidR="002B5BFC">
        <w:rPr>
          <w:rFonts w:ascii="Times New Roman" w:hAnsi="Times New Roman"/>
          <w:sz w:val="24"/>
          <w:szCs w:val="24"/>
        </w:rPr>
        <w:t>smaller</w:t>
      </w:r>
      <w:r>
        <w:rPr>
          <w:rFonts w:ascii="Times New Roman" w:hAnsi="Times New Roman"/>
          <w:sz w:val="24"/>
          <w:szCs w:val="24"/>
        </w:rPr>
        <w:t xml:space="preserve"> K</w:t>
      </w:r>
      <w:r>
        <w:rPr>
          <w:rFonts w:ascii="Times New Roman" w:hAnsi="Times New Roman"/>
          <w:sz w:val="24"/>
          <w:szCs w:val="24"/>
          <w:vertAlign w:val="subscript"/>
        </w:rPr>
        <w:t>sa</w:t>
      </w:r>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(hydr)</w:t>
      </w:r>
      <w:r w:rsidR="00AF11A1">
        <w:rPr>
          <w:rFonts w:ascii="Times New Roman" w:hAnsi="Times New Roman"/>
          <w:sz w:val="24"/>
          <w:szCs w:val="24"/>
        </w:rPr>
        <w:t>oxides.</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w:t>
      </w:r>
      <w:r w:rsidR="00AF11A1">
        <w:rPr>
          <w:rFonts w:ascii="Times New Roman" w:hAnsi="Times New Roman"/>
          <w:sz w:val="24"/>
          <w:szCs w:val="24"/>
        </w:rPr>
        <w:fldChar w:fldCharType="end"/>
      </w:r>
    </w:p>
    <w:p w14:paraId="4C6FB5A2" w14:textId="3042B2E2"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(K</w:t>
      </w:r>
      <w:r w:rsidR="00B111D5">
        <w:rPr>
          <w:rFonts w:ascii="Times New Roman" w:hAnsi="Times New Roman"/>
          <w:sz w:val="24"/>
          <w:szCs w:val="24"/>
          <w:vertAlign w:val="subscript"/>
        </w:rPr>
        <w:t>d</w:t>
      </w:r>
      <w:r w:rsidR="00B111D5">
        <w:rPr>
          <w:rFonts w:ascii="Times New Roman" w:hAnsi="Times New Roman"/>
          <w:sz w:val="24"/>
          <w:szCs w:val="24"/>
        </w:rPr>
        <w:t>) and surface area normalized (K</w:t>
      </w:r>
      <w:r w:rsidR="00B111D5">
        <w:rPr>
          <w:rFonts w:ascii="Times New Roman" w:hAnsi="Times New Roman"/>
          <w:sz w:val="24"/>
          <w:szCs w:val="24"/>
          <w:vertAlign w:val="subscript"/>
        </w:rPr>
        <w:t>sa</w:t>
      </w:r>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With the exception of ferrihydrite at pH 9, the total extent of sorption to montmorillonite is larger than iron (hydr)oxides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(hydr)oxides, </w:t>
      </w:r>
      <w:r w:rsidR="00B111D5">
        <w:rPr>
          <w:rFonts w:ascii="Times New Roman" w:hAnsi="Times New Roman"/>
          <w:sz w:val="24"/>
          <w:szCs w:val="24"/>
        </w:rPr>
        <w:t>the K</w:t>
      </w:r>
      <w:r w:rsidR="00B111D5">
        <w:rPr>
          <w:rFonts w:ascii="Times New Roman" w:hAnsi="Times New Roman"/>
          <w:sz w:val="24"/>
          <w:szCs w:val="24"/>
          <w:vertAlign w:val="subscript"/>
        </w:rPr>
        <w:t xml:space="preserve">d </w:t>
      </w:r>
      <w:r w:rsidR="00B111D5">
        <w:rPr>
          <w:rFonts w:ascii="Times New Roman" w:hAnsi="Times New Roman"/>
          <w:sz w:val="24"/>
          <w:szCs w:val="24"/>
        </w:rPr>
        <w:t>and K</w:t>
      </w:r>
      <w:r w:rsidR="00B111D5">
        <w:rPr>
          <w:rFonts w:ascii="Times New Roman" w:hAnsi="Times New Roman"/>
          <w:sz w:val="24"/>
          <w:szCs w:val="24"/>
          <w:vertAlign w:val="subscript"/>
        </w:rPr>
        <w:softHyphen/>
        <w:t>sa</w:t>
      </w:r>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"&lt;sup&gt;13,27&lt;/sup&gt;", "plainTextFormattedCitation" : "13,27", "previouslyFormattedCitation" : "&lt;sup&gt;13,27&lt;/sup&gt;"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13,27</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The CEC of the clay used here (84.4 meq/100g, clay minerals society) falls within the range of those other studies (76.4-120 meq/100g),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r w:rsidR="00E37D52" w:rsidRPr="00E37D52">
        <w:rPr>
          <w:rFonts w:ascii="Times New Roman" w:hAnsi="Times New Roman"/>
          <w:sz w:val="24"/>
          <w:szCs w:val="24"/>
        </w:rPr>
        <w:t>K</w:t>
      </w:r>
      <w:r w:rsidR="00E37D52">
        <w:rPr>
          <w:rFonts w:ascii="Times New Roman" w:hAnsi="Times New Roman"/>
          <w:sz w:val="24"/>
          <w:szCs w:val="24"/>
          <w:vertAlign w:val="subscript"/>
        </w:rPr>
        <w:t>d</w:t>
      </w:r>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Tamamura,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31635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4B5139E2"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 xml:space="preserve">surface area </w:t>
      </w:r>
      <w:r>
        <w:rPr>
          <w:rFonts w:ascii="Times New Roman" w:hAnsi="Times New Roman"/>
          <w:sz w:val="24"/>
          <w:szCs w:val="24"/>
        </w:rPr>
        <w:lastRenderedPageBreak/>
        <w:t>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"&lt;sup&gt;28&lt;/sup&gt;", "plainTextFormattedCitation" : "28", "previouslyFormattedCitation" : "&lt;sup&gt;28&lt;/sup&gt;" }, "properties" : { "noteIndex" : 10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"&lt;sup&gt;28\u201333&lt;/sup&gt;", "plainTextFormattedCitation" : "28\u201333", "previouslyFormattedCitation" : "&lt;sup&gt;28\u201333&lt;/sup&gt;" }, "properties" : { "noteIndex" : 11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28–33</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(hydr)oxide phase formed</w:t>
      </w:r>
      <w:r>
        <w:rPr>
          <w:rFonts w:ascii="Times New Roman" w:hAnsi="Times New Roman"/>
          <w:sz w:val="24"/>
          <w:szCs w:val="24"/>
        </w:rPr>
        <w:t>. Howeve</w:t>
      </w:r>
      <w:r w:rsidR="003A17A2">
        <w:rPr>
          <w:rFonts w:ascii="Times New Roman" w:hAnsi="Times New Roman"/>
          <w:sz w:val="24"/>
          <w:szCs w:val="24"/>
        </w:rPr>
        <w:t>r, we find no evidence of oxic</w:t>
      </w:r>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nmoles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7341B408" w:rsidR="00467D2D" w:rsidRPr="006A22C0" w:rsidRDefault="00467D2D" w:rsidP="00467D2D">
      <w:pPr>
        <w:spacing w:line="480" w:lineRule="auto"/>
        <w:rPr>
          <w:rFonts w:ascii="Times New Roman" w:hAnsi="Times New Roman"/>
          <w:b/>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Bq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(7.0) illustrate notable deviations from Ra adsorption trends observed using NaCl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10 mM</w:t>
      </w:r>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mM NaCl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lastRenderedPageBreak/>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(hydr)</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bookmarkStart w:id="0" w:name="_GoBack"/>
      <w:bookmarkEnd w:id="0"/>
      <w:r w:rsidR="003C3753">
        <w:rPr>
          <w:rFonts w:ascii="Times New Roman" w:hAnsi="Times New Roman"/>
          <w:sz w:val="24"/>
          <w:szCs w:val="24"/>
        </w:rPr>
        <w:t xml:space="preserve">; hence, </w:t>
      </w:r>
      <w:r w:rsidR="00D8742E">
        <w:rPr>
          <w:rFonts w:ascii="Times New Roman" w:hAnsi="Times New Roman"/>
          <w:sz w:val="24"/>
          <w:szCs w:val="24"/>
        </w:rPr>
        <w:t>sorption data from experiments using background solutions dominated by a single</w:t>
      </w:r>
      <w:r w:rsidR="003C3753">
        <w:rPr>
          <w:rFonts w:ascii="Times New Roman" w:hAnsi="Times New Roman"/>
          <w:sz w:val="24"/>
          <w:szCs w:val="24"/>
        </w:rPr>
        <w:t xml:space="preserve"> monovalent cation such as sodium</w:t>
      </w:r>
      <w:r w:rsidR="00D8742E">
        <w:rPr>
          <w:rFonts w:ascii="Times New Roman" w:hAnsi="Times New Roman"/>
          <w:sz w:val="24"/>
          <w:szCs w:val="24"/>
        </w:rPr>
        <w:t xml:space="preserve"> may overestimate the extent of Ra sorption compared to natural solutions harboring a diversity of mono and multi-valent cations</w:t>
      </w:r>
      <w:r w:rsidR="009244A9">
        <w:rPr>
          <w:rFonts w:ascii="Times New Roman" w:hAnsi="Times New Roman"/>
          <w:sz w:val="24"/>
          <w:szCs w:val="24"/>
        </w:rPr>
        <w:t>, and shifts in groundwater ion composition (</w:t>
      </w:r>
      <w:r w:rsidR="002E04B8">
        <w:rPr>
          <w:rFonts w:ascii="Times New Roman" w:hAnsi="Times New Roman"/>
          <w:sz w:val="24"/>
          <w:szCs w:val="24"/>
        </w:rPr>
        <w:t>i.e.</w:t>
      </w:r>
      <w:r w:rsidR="009244A9">
        <w:rPr>
          <w:rFonts w:ascii="Times New Roman" w:hAnsi="Times New Roman"/>
          <w:sz w:val="24"/>
          <w:szCs w:val="24"/>
        </w:rPr>
        <w:t xml:space="preserve"> driven by mixing of different source waters) </w:t>
      </w:r>
      <w:r w:rsidR="006A22C0">
        <w:rPr>
          <w:rFonts w:ascii="Times New Roman" w:hAnsi="Times New Roman"/>
          <w:sz w:val="24"/>
          <w:szCs w:val="24"/>
        </w:rPr>
        <w:t>could</w:t>
      </w:r>
      <w:r w:rsidR="009244A9">
        <w:rPr>
          <w:rFonts w:ascii="Times New Roman" w:hAnsi="Times New Roman"/>
          <w:sz w:val="24"/>
          <w:szCs w:val="24"/>
        </w:rPr>
        <w:t xml:space="preserve"> alter Ra sorption to aquifer materials</w:t>
      </w:r>
      <w:r w:rsidR="00D8742E">
        <w:rPr>
          <w:rFonts w:ascii="Times New Roman" w:hAnsi="Times New Roman"/>
          <w:sz w:val="24"/>
          <w:szCs w:val="24"/>
        </w:rPr>
        <w:t>.</w:t>
      </w:r>
      <w:r w:rsidR="00390EB6">
        <w:rPr>
          <w:rFonts w:ascii="Times New Roman" w:hAnsi="Times New Roman"/>
          <w:sz w:val="24"/>
          <w:szCs w:val="24"/>
        </w:rPr>
        <w:t xml:space="preserve"> Linear</w:t>
      </w:r>
      <w:r w:rsidR="00D8742E">
        <w:rPr>
          <w:rFonts w:ascii="Times New Roman" w:hAnsi="Times New Roman"/>
          <w:sz w:val="24"/>
          <w:szCs w:val="24"/>
        </w:rPr>
        <w:t xml:space="preserve"> </w:t>
      </w:r>
      <w:r>
        <w:rPr>
          <w:rFonts w:ascii="Times New Roman" w:hAnsi="Times New Roman"/>
          <w:sz w:val="24"/>
          <w:szCs w:val="24"/>
        </w:rPr>
        <w:t>This is particularly relevant for hydraulic fracturing systems where injected groundwaters tend to have a different ionic composition compared to the natural formation brine.</w:t>
      </w:r>
    </w:p>
    <w:p w14:paraId="4E42E6B6" w14:textId="7427A457"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meq/L) and “seawater” (800 meq/L)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mM NaCl</w:t>
      </w:r>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(hydr)oxides—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mM NaCl</w:t>
      </w:r>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(hydr)</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w:t>
      </w:r>
      <w:r>
        <w:rPr>
          <w:rFonts w:ascii="Times New Roman" w:hAnsi="Times New Roman"/>
          <w:sz w:val="24"/>
          <w:szCs w:val="24"/>
        </w:rPr>
        <w:lastRenderedPageBreak/>
        <w:t xml:space="preserve">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(hydr)</w:t>
      </w:r>
      <w:r>
        <w:rPr>
          <w:rFonts w:ascii="Times New Roman" w:hAnsi="Times New Roman"/>
          <w:sz w:val="24"/>
          <w:szCs w:val="24"/>
        </w:rPr>
        <w:t>oxide phases.</w:t>
      </w:r>
      <w:r w:rsidR="007A4395">
        <w:rPr>
          <w:rFonts w:ascii="Times New Roman" w:hAnsi="Times New Roman"/>
          <w:sz w:val="24"/>
          <w:szCs w:val="24"/>
          <w:vertAlign w:val="superscript"/>
        </w:rPr>
        <w:t>11</w:t>
      </w:r>
      <w:r w:rsidR="007A4395">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mean squared error (RMSE) of Ra fraction sorbed: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(hydr)oxide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(hydr)oxides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 xml:space="preserve">they are specifically derived for trace levels of competing </w:t>
      </w:r>
      <w:r w:rsidR="009836C6">
        <w:rPr>
          <w:rFonts w:ascii="Times New Roman" w:hAnsi="Times New Roman"/>
          <w:sz w:val="24"/>
          <w:szCs w:val="24"/>
        </w:rPr>
        <w:lastRenderedPageBreak/>
        <w:t>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(hydr)oxides),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26DB818C"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and sedimentary systems. </w:t>
      </w:r>
      <w:r w:rsidR="00B74120">
        <w:rPr>
          <w:rFonts w:ascii="Times New Roman" w:hAnsi="Times New Roman"/>
          <w:sz w:val="24"/>
          <w:szCs w:val="24"/>
        </w:rPr>
        <w:t>P</w:t>
      </w:r>
      <w:r w:rsidR="00E0113A">
        <w:rPr>
          <w:rFonts w:ascii="Times New Roman" w:hAnsi="Times New Roman"/>
          <w:sz w:val="24"/>
          <w:szCs w:val="24"/>
        </w:rPr>
        <w:t xml:space="preserve">oorly crystalline iron (hydr)oxides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(hydr)oxides)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 xml:space="preserve">montmorillonite retains more Ra than ferrihydrite under low-ionic strength and pH conditions, </w:t>
      </w:r>
      <w:r w:rsidR="00DB482C">
        <w:rPr>
          <w:rFonts w:ascii="Times New Roman" w:hAnsi="Times New Roman"/>
          <w:sz w:val="24"/>
          <w:szCs w:val="24"/>
        </w:rPr>
        <w:lastRenderedPageBreak/>
        <w:t>but this trend is reversed</w:t>
      </w:r>
      <w:r w:rsidR="005E6680">
        <w:rPr>
          <w:rFonts w:ascii="Times New Roman" w:hAnsi="Times New Roman"/>
          <w:sz w:val="24"/>
          <w:szCs w:val="24"/>
        </w:rPr>
        <w:t xml:space="preserve"> with increased activity of divalent cations that compete with Ra for 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w:t>
      </w:r>
      <w:r w:rsidR="00D60ED8">
        <w:rPr>
          <w:rFonts w:ascii="Times New Roman" w:hAnsi="Times New Roman"/>
          <w:sz w:val="24"/>
          <w:szCs w:val="24"/>
        </w:rPr>
        <w:t>fully describe Ra sorption to iron</w:t>
      </w:r>
      <w:r w:rsidR="003C7FC9">
        <w:rPr>
          <w:rFonts w:ascii="Times New Roman" w:hAnsi="Times New Roman"/>
          <w:sz w:val="24"/>
          <w:szCs w:val="24"/>
        </w:rPr>
        <w:t xml:space="preserve"> (hydr)oxide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r w:rsidR="001438C3">
        <w:rPr>
          <w:rFonts w:ascii="Times New Roman" w:hAnsi="Times New Roman"/>
          <w:sz w:val="24"/>
          <w:szCs w:val="24"/>
        </w:rPr>
        <w:t xml:space="preserve">Additionally, </w:t>
      </w:r>
      <w:r w:rsidR="00043768">
        <w:rPr>
          <w:rFonts w:ascii="Times New Roman" w:hAnsi="Times New Roman"/>
          <w:sz w:val="24"/>
          <w:szCs w:val="24"/>
        </w:rPr>
        <w:t>only a limited number of studies describe and report selectivity coefficients and reaction constants for key competing cations (e.g. Na</w:t>
      </w:r>
      <w:r w:rsidR="00043768">
        <w:rPr>
          <w:rFonts w:ascii="Times New Roman" w:hAnsi="Times New Roman"/>
          <w:sz w:val="24"/>
          <w:szCs w:val="24"/>
          <w:vertAlign w:val="superscript"/>
        </w:rPr>
        <w:t>+</w:t>
      </w:r>
      <w:r w:rsidR="00043768">
        <w:rPr>
          <w:rFonts w:ascii="Times New Roman" w:hAnsi="Times New Roman"/>
          <w:sz w:val="24"/>
          <w:szCs w:val="24"/>
        </w:rPr>
        <w:t>, Ca</w:t>
      </w:r>
      <w:r w:rsidR="00043768">
        <w:rPr>
          <w:rFonts w:ascii="Times New Roman" w:hAnsi="Times New Roman"/>
          <w:sz w:val="24"/>
          <w:szCs w:val="24"/>
          <w:vertAlign w:val="superscript"/>
        </w:rPr>
        <w:t>2+</w:t>
      </w:r>
      <w:r w:rsidR="00043768">
        <w:rPr>
          <w:rFonts w:ascii="Times New Roman" w:hAnsi="Times New Roman"/>
          <w:sz w:val="24"/>
          <w:szCs w:val="24"/>
        </w:rPr>
        <w:t>) used to describe Ra sorption and transport using SCM</w:t>
      </w:r>
      <w:r w:rsidR="001438C3">
        <w:rPr>
          <w:rFonts w:ascii="Times New Roman" w:hAnsi="Times New Roman"/>
          <w:sz w:val="24"/>
          <w:szCs w:val="24"/>
        </w:rPr>
        <w:t xml:space="preserve">. </w:t>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mineral</w:t>
      </w:r>
      <w:r w:rsidR="007B601E">
        <w:rPr>
          <w:rFonts w:ascii="Times New Roman" w:hAnsi="Times New Roman"/>
          <w:sz w:val="24"/>
          <w:szCs w:val="24"/>
        </w:rPr>
        <w:t>s and mineral</w:t>
      </w:r>
      <w:r w:rsidR="00A51C43">
        <w:rPr>
          <w:rFonts w:ascii="Times New Roman" w:hAnsi="Times New Roman"/>
          <w:sz w:val="24"/>
          <w:szCs w:val="24"/>
        </w:rPr>
        <w:t xml:space="preserve"> 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required to improve mechanistic 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Galanek,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Hok of the Kim Lab (Chapman University) for performing BET analysis. </w:t>
      </w:r>
      <w:r>
        <w:rPr>
          <w:rFonts w:ascii="Times New Roman" w:hAnsi="Times New Roman"/>
          <w:sz w:val="24"/>
          <w:szCs w:val="24"/>
        </w:rPr>
        <w:lastRenderedPageBreak/>
        <w:t>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0F1FB87F"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r w:rsidR="008257E2">
        <w:rPr>
          <w:rFonts w:ascii="Times New Roman" w:hAnsi="Times New Roman"/>
          <w:sz w:val="24"/>
          <w:szCs w:val="24"/>
        </w:rPr>
        <w:t>K</w:t>
      </w:r>
      <w:r w:rsidR="008257E2">
        <w:rPr>
          <w:rFonts w:ascii="Times New Roman" w:hAnsi="Times New Roman"/>
          <w:sz w:val="24"/>
          <w:szCs w:val="24"/>
          <w:vertAlign w:val="subscript"/>
        </w:rPr>
        <w:t>d</w:t>
      </w:r>
      <w:r w:rsidR="008257E2">
        <w:rPr>
          <w:rFonts w:ascii="Times New Roman" w:hAnsi="Times New Roman"/>
          <w:sz w:val="24"/>
          <w:szCs w:val="24"/>
        </w:rPr>
        <w:t xml:space="preserve"> </w:t>
      </w:r>
      <w:r w:rsidR="008257E2">
        <w:rPr>
          <w:rFonts w:ascii="Times New Roman" w:hAnsi="Times New Roman"/>
          <w:sz w:val="24"/>
          <w:szCs w:val="24"/>
        </w:rPr>
        <w:t>(left, figure 1a)</w:t>
      </w:r>
      <w:r w:rsidR="008257E2">
        <w:rPr>
          <w:rFonts w:ascii="Times New Roman" w:hAnsi="Times New Roman"/>
          <w:sz w:val="24"/>
          <w:szCs w:val="24"/>
        </w:rPr>
        <w:t xml:space="preserve"> and K</w:t>
      </w:r>
      <w:r w:rsidR="008257E2">
        <w:rPr>
          <w:rFonts w:ascii="Times New Roman" w:hAnsi="Times New Roman"/>
          <w:sz w:val="24"/>
          <w:szCs w:val="24"/>
          <w:vertAlign w:val="subscript"/>
        </w:rPr>
        <w:t>sa</w:t>
      </w:r>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r w:rsidRPr="00B07769">
              <w:rPr>
                <w:rFonts w:ascii="Times New Roman" w:hAnsi="Times New Roman"/>
                <w:sz w:val="24"/>
                <w:szCs w:val="24"/>
              </w:rPr>
              <w:t>GoeOH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r w:rsidRPr="00C21C70">
              <w:rPr>
                <w:rFonts w:ascii="Times New Roman" w:hAnsi="Times New Roman"/>
                <w:sz w:val="24"/>
                <w:szCs w:val="24"/>
              </w:rPr>
              <w:t>GoeORa</w:t>
            </w:r>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≡GoeOH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0B883C55" w14:textId="6C2F1A68" w:rsidR="000E43E2" w:rsidRPr="000E43E2" w:rsidRDefault="001A7F70" w:rsidP="00EB35C6">
      <w:pPr>
        <w:widowControl w:val="0"/>
        <w:autoSpaceDE w:val="0"/>
        <w:autoSpaceDN w:val="0"/>
        <w:adjustRightInd w:val="0"/>
        <w:spacing w:line="240" w:lineRule="auto"/>
        <w:ind w:left="634" w:hanging="634"/>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0E43E2" w:rsidRPr="000E43E2">
        <w:rPr>
          <w:rFonts w:ascii="Times New Roman" w:hAnsi="Times New Roman"/>
          <w:noProof/>
          <w:sz w:val="24"/>
          <w:szCs w:val="24"/>
        </w:rPr>
        <w:t xml:space="preserve">(1) </w:t>
      </w:r>
      <w:r w:rsidR="000E43E2" w:rsidRPr="000E43E2">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0E43E2" w:rsidRPr="000E43E2">
        <w:rPr>
          <w:rFonts w:ascii="Times New Roman" w:hAnsi="Times New Roman"/>
          <w:i/>
          <w:iCs/>
          <w:noProof/>
          <w:sz w:val="24"/>
          <w:szCs w:val="24"/>
        </w:rPr>
        <w:t>Environ. Sci. Technol.</w:t>
      </w:r>
      <w:r w:rsidR="000E43E2" w:rsidRPr="000E43E2">
        <w:rPr>
          <w:rFonts w:ascii="Times New Roman" w:hAnsi="Times New Roman"/>
          <w:noProof/>
          <w:sz w:val="24"/>
          <w:szCs w:val="24"/>
        </w:rPr>
        <w:t xml:space="preserve"> </w:t>
      </w:r>
      <w:r w:rsidR="000E43E2" w:rsidRPr="000E43E2">
        <w:rPr>
          <w:rFonts w:ascii="Times New Roman" w:hAnsi="Times New Roman"/>
          <w:b/>
          <w:bCs/>
          <w:noProof/>
          <w:sz w:val="24"/>
          <w:szCs w:val="24"/>
        </w:rPr>
        <w:t>2014</w:t>
      </w:r>
      <w:r w:rsidR="000E43E2" w:rsidRPr="000E43E2">
        <w:rPr>
          <w:rFonts w:ascii="Times New Roman" w:hAnsi="Times New Roman"/>
          <w:noProof/>
          <w:sz w:val="24"/>
          <w:szCs w:val="24"/>
        </w:rPr>
        <w:t xml:space="preserve">, </w:t>
      </w:r>
      <w:r w:rsidR="000E43E2" w:rsidRPr="000E43E2">
        <w:rPr>
          <w:rFonts w:ascii="Times New Roman" w:hAnsi="Times New Roman"/>
          <w:i/>
          <w:iCs/>
          <w:noProof/>
          <w:sz w:val="24"/>
          <w:szCs w:val="24"/>
        </w:rPr>
        <w:t>48</w:t>
      </w:r>
      <w:r w:rsidR="000E43E2" w:rsidRPr="000E43E2">
        <w:rPr>
          <w:rFonts w:ascii="Times New Roman" w:hAnsi="Times New Roman"/>
          <w:noProof/>
          <w:sz w:val="24"/>
          <w:szCs w:val="24"/>
        </w:rPr>
        <w:t xml:space="preserve"> (8), 4596–4603 DOI: 10.1021/es405168b.</w:t>
      </w:r>
    </w:p>
    <w:p w14:paraId="047F3A1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 </w:t>
      </w:r>
      <w:r w:rsidRPr="000E43E2">
        <w:rPr>
          <w:rFonts w:ascii="Times New Roman" w:hAnsi="Times New Roman"/>
          <w:noProof/>
          <w:sz w:val="24"/>
          <w:szCs w:val="24"/>
        </w:rPr>
        <w:tab/>
        <w:t xml:space="preserve">Jones, A. P. Indoor air quality and health. </w:t>
      </w:r>
      <w:r w:rsidRPr="000E43E2">
        <w:rPr>
          <w:rFonts w:ascii="Times New Roman" w:hAnsi="Times New Roman"/>
          <w:i/>
          <w:iCs/>
          <w:noProof/>
          <w:sz w:val="24"/>
          <w:szCs w:val="24"/>
        </w:rPr>
        <w:t>Atmos. Environ.</w:t>
      </w:r>
      <w:r w:rsidRPr="000E43E2">
        <w:rPr>
          <w:rFonts w:ascii="Times New Roman" w:hAnsi="Times New Roman"/>
          <w:noProof/>
          <w:sz w:val="24"/>
          <w:szCs w:val="24"/>
        </w:rPr>
        <w:t xml:space="preserve"> </w:t>
      </w:r>
      <w:r w:rsidRPr="000E43E2">
        <w:rPr>
          <w:rFonts w:ascii="Times New Roman" w:hAnsi="Times New Roman"/>
          <w:b/>
          <w:bCs/>
          <w:noProof/>
          <w:sz w:val="24"/>
          <w:szCs w:val="24"/>
        </w:rPr>
        <w:t>1999</w:t>
      </w:r>
      <w:r w:rsidRPr="000E43E2">
        <w:rPr>
          <w:rFonts w:ascii="Times New Roman" w:hAnsi="Times New Roman"/>
          <w:noProof/>
          <w:sz w:val="24"/>
          <w:szCs w:val="24"/>
        </w:rPr>
        <w:t xml:space="preserve">, </w:t>
      </w:r>
      <w:r w:rsidRPr="000E43E2">
        <w:rPr>
          <w:rFonts w:ascii="Times New Roman" w:hAnsi="Times New Roman"/>
          <w:i/>
          <w:iCs/>
          <w:noProof/>
          <w:sz w:val="24"/>
          <w:szCs w:val="24"/>
        </w:rPr>
        <w:t>33</w:t>
      </w:r>
      <w:r w:rsidRPr="000E43E2">
        <w:rPr>
          <w:rFonts w:ascii="Times New Roman" w:hAnsi="Times New Roman"/>
          <w:noProof/>
          <w:sz w:val="24"/>
          <w:szCs w:val="24"/>
        </w:rPr>
        <w:t xml:space="preserve"> (28), 4535–4564 DOI: 10.1016/S1352-2310(99)00272-1.</w:t>
      </w:r>
    </w:p>
    <w:p w14:paraId="1FE5049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 </w:t>
      </w:r>
      <w:r w:rsidRPr="000E43E2">
        <w:rPr>
          <w:rFonts w:ascii="Times New Roman" w:hAnsi="Times New Roman"/>
          <w:noProof/>
          <w:sz w:val="24"/>
          <w:szCs w:val="24"/>
        </w:rPr>
        <w:tab/>
        <w:t xml:space="preserve">Ivanovich, M. Uranium Series Disequilibrium - Concepts and Applications. </w:t>
      </w:r>
      <w:r w:rsidRPr="000E43E2">
        <w:rPr>
          <w:rFonts w:ascii="Times New Roman" w:hAnsi="Times New Roman"/>
          <w:i/>
          <w:iCs/>
          <w:noProof/>
          <w:sz w:val="24"/>
          <w:szCs w:val="24"/>
        </w:rPr>
        <w:t>Radiochim.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(2), 81–94 DOI: 10.1524/ract.1994.64.2.81.</w:t>
      </w:r>
    </w:p>
    <w:p w14:paraId="2FEEB69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(4) </w:t>
      </w:r>
      <w:r w:rsidRPr="000E43E2">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2012</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xml:space="preserve"> (3), 729–752 DOI: 10.1016/j.apgeochem.2011.11.002.</w:t>
      </w:r>
    </w:p>
    <w:p w14:paraId="73E01B4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(5) </w:t>
      </w:r>
      <w:r w:rsidRPr="000E43E2">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47</w:t>
      </w:r>
      <w:r w:rsidRPr="000E43E2">
        <w:rPr>
          <w:rFonts w:ascii="Times New Roman" w:hAnsi="Times New Roman"/>
          <w:noProof/>
          <w:sz w:val="24"/>
          <w:szCs w:val="24"/>
        </w:rPr>
        <w:t xml:space="preserve"> (6), 2562–2569 DOI: 10.1021/es304638h.</w:t>
      </w:r>
    </w:p>
    <w:p w14:paraId="7783F4E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(6) </w:t>
      </w:r>
      <w:r w:rsidRPr="000E43E2">
        <w:rPr>
          <w:rFonts w:ascii="Times New Roman" w:hAnsi="Times New Roman"/>
          <w:noProof/>
          <w:sz w:val="24"/>
          <w:szCs w:val="24"/>
        </w:rPr>
        <w:tab/>
        <w:t xml:space="preserve">Vengosh, A.; Hirschfeld, D.; Vinson, D.; Dwyer, G.; Raanan, H.; Rimawi, O.; Al-zoubi, A.; Akkawi, E.; Marie, A.; Haquin, G.; et al. High Naturally Occurring Radioactivity in Fossil Groundwater from the Middle East.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43</w:t>
      </w:r>
      <w:r w:rsidRPr="000E43E2">
        <w:rPr>
          <w:rFonts w:ascii="Times New Roman" w:hAnsi="Times New Roman"/>
          <w:noProof/>
          <w:sz w:val="24"/>
          <w:szCs w:val="24"/>
        </w:rPr>
        <w:t>, 1769–1775 DOI: 10.1021/es802969r.</w:t>
      </w:r>
    </w:p>
    <w:p w14:paraId="1C57D223"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(7) </w:t>
      </w:r>
      <w:r w:rsidRPr="000E43E2">
        <w:rPr>
          <w:rFonts w:ascii="Times New Roman" w:hAnsi="Times New Roman"/>
          <w:noProof/>
          <w:sz w:val="24"/>
          <w:szCs w:val="24"/>
        </w:rPr>
        <w:tab/>
        <w:t xml:space="preserve">Lauer, N.; Vengosh, A. Age Dating Oil and Gas Wastewater Spills Using Radium Isotopes and Their Decay Products in Impacted Soil and Sediment. </w:t>
      </w:r>
      <w:r w:rsidRPr="000E43E2">
        <w:rPr>
          <w:rFonts w:ascii="Times New Roman" w:hAnsi="Times New Roman"/>
          <w:i/>
          <w:iCs/>
          <w:noProof/>
          <w:sz w:val="24"/>
          <w:szCs w:val="24"/>
        </w:rPr>
        <w:t>Environ. Sci. Technol. Lett.</w:t>
      </w:r>
      <w:r w:rsidRPr="000E43E2">
        <w:rPr>
          <w:rFonts w:ascii="Times New Roman" w:hAnsi="Times New Roman"/>
          <w:noProof/>
          <w:sz w:val="24"/>
          <w:szCs w:val="24"/>
        </w:rPr>
        <w:t xml:space="preserve"> </w:t>
      </w:r>
      <w:r w:rsidRPr="000E43E2">
        <w:rPr>
          <w:rFonts w:ascii="Times New Roman" w:hAnsi="Times New Roman"/>
          <w:b/>
          <w:bCs/>
          <w:noProof/>
          <w:sz w:val="24"/>
          <w:szCs w:val="24"/>
        </w:rPr>
        <w:t>2016</w:t>
      </w:r>
      <w:r w:rsidRPr="000E43E2">
        <w:rPr>
          <w:rFonts w:ascii="Times New Roman" w:hAnsi="Times New Roman"/>
          <w:noProof/>
          <w:sz w:val="24"/>
          <w:szCs w:val="24"/>
        </w:rPr>
        <w:t xml:space="preserve">, </w:t>
      </w:r>
      <w:r w:rsidRPr="000E43E2">
        <w:rPr>
          <w:rFonts w:ascii="Times New Roman" w:hAnsi="Times New Roman"/>
          <w:i/>
          <w:iCs/>
          <w:noProof/>
          <w:sz w:val="24"/>
          <w:szCs w:val="24"/>
        </w:rPr>
        <w:t>3</w:t>
      </w:r>
      <w:r w:rsidRPr="000E43E2">
        <w:rPr>
          <w:rFonts w:ascii="Times New Roman" w:hAnsi="Times New Roman"/>
          <w:noProof/>
          <w:sz w:val="24"/>
          <w:szCs w:val="24"/>
        </w:rPr>
        <w:t xml:space="preserve"> (5), acs.estlett.6b00118 DOI: 10.1021/acs.estlett.6b00118.</w:t>
      </w:r>
    </w:p>
    <w:p w14:paraId="7025387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(8) </w:t>
      </w:r>
      <w:r w:rsidRPr="000E43E2">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2015</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85–94 DOI: 10.1016/j.apgeochem.2014.12.017.</w:t>
      </w:r>
    </w:p>
    <w:p w14:paraId="5EF33BF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(9) </w:t>
      </w:r>
      <w:r w:rsidRPr="000E43E2">
        <w:rPr>
          <w:rFonts w:ascii="Times New Roman" w:hAnsi="Times New Roman"/>
          <w:noProof/>
          <w:sz w:val="24"/>
          <w:szCs w:val="24"/>
        </w:rPr>
        <w:tab/>
        <w:t xml:space="preserve">Fesenko, S.; Carvalho, F.; Martin, P.; Moore, W. S.; Yankovich, T. Radium in the Environment. </w:t>
      </w:r>
      <w:r w:rsidRPr="000E43E2">
        <w:rPr>
          <w:rFonts w:ascii="Times New Roman" w:hAnsi="Times New Roman"/>
          <w:i/>
          <w:iCs/>
          <w:noProof/>
          <w:sz w:val="24"/>
          <w:szCs w:val="24"/>
        </w:rPr>
        <w:t>The Environmental Behavior of Radium: Revised Edition</w:t>
      </w:r>
      <w:r w:rsidRPr="000E43E2">
        <w:rPr>
          <w:rFonts w:ascii="Times New Roman" w:hAnsi="Times New Roman"/>
          <w:noProof/>
          <w:sz w:val="24"/>
          <w:szCs w:val="24"/>
        </w:rPr>
        <w:t>. 2014, pp 33–105.</w:t>
      </w:r>
    </w:p>
    <w:p w14:paraId="344F4DD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(10) </w:t>
      </w:r>
      <w:r w:rsidRPr="000E43E2">
        <w:rPr>
          <w:rFonts w:ascii="Times New Roman" w:hAnsi="Times New Roman"/>
          <w:noProof/>
          <w:sz w:val="24"/>
          <w:szCs w:val="24"/>
        </w:rPr>
        <w:tab/>
        <w:t xml:space="preserve">Gonneea, M. E.; Morris, P. J.; Dulaiova, H.; Charette, M. a. New perspectives on radium behavior within a subterranean estuary.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2008</w:t>
      </w:r>
      <w:r w:rsidRPr="000E43E2">
        <w:rPr>
          <w:rFonts w:ascii="Times New Roman" w:hAnsi="Times New Roman"/>
          <w:noProof/>
          <w:sz w:val="24"/>
          <w:szCs w:val="24"/>
        </w:rPr>
        <w:t xml:space="preserve">, </w:t>
      </w:r>
      <w:r w:rsidRPr="000E43E2">
        <w:rPr>
          <w:rFonts w:ascii="Times New Roman" w:hAnsi="Times New Roman"/>
          <w:i/>
          <w:iCs/>
          <w:noProof/>
          <w:sz w:val="24"/>
          <w:szCs w:val="24"/>
        </w:rPr>
        <w:t>109</w:t>
      </w:r>
      <w:r w:rsidRPr="000E43E2">
        <w:rPr>
          <w:rFonts w:ascii="Times New Roman" w:hAnsi="Times New Roman"/>
          <w:noProof/>
          <w:sz w:val="24"/>
          <w:szCs w:val="24"/>
        </w:rPr>
        <w:t xml:space="preserve"> (3–4), 250–267 DOI: 10.1016/j.marchem.2007.12.002.</w:t>
      </w:r>
    </w:p>
    <w:p w14:paraId="6169066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(11) </w:t>
      </w:r>
      <w:r w:rsidRPr="000E43E2">
        <w:rPr>
          <w:rFonts w:ascii="Times New Roman" w:hAnsi="Times New Roman"/>
          <w:noProof/>
          <w:sz w:val="24"/>
          <w:szCs w:val="24"/>
        </w:rPr>
        <w:tab/>
        <w:t xml:space="preserve">Beck, A. J.; Cochran, M. a. Controls on solid-solution partitioning of radium in saturated marine sands.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156</w:t>
      </w:r>
      <w:r w:rsidRPr="000E43E2">
        <w:rPr>
          <w:rFonts w:ascii="Times New Roman" w:hAnsi="Times New Roman"/>
          <w:noProof/>
          <w:sz w:val="24"/>
          <w:szCs w:val="24"/>
        </w:rPr>
        <w:t>, 38–48 DOI: 10.1016/j.marchem.2013.01.008.</w:t>
      </w:r>
    </w:p>
    <w:p w14:paraId="1528194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(12) </w:t>
      </w:r>
      <w:r w:rsidRPr="000E43E2">
        <w:rPr>
          <w:rFonts w:ascii="Times New Roman" w:hAnsi="Times New Roman"/>
          <w:noProof/>
          <w:sz w:val="24"/>
          <w:szCs w:val="24"/>
        </w:rPr>
        <w:tab/>
        <w:t xml:space="preserve">Schwertmann, U.; Cornell, R. </w:t>
      </w:r>
      <w:r w:rsidRPr="000E43E2">
        <w:rPr>
          <w:rFonts w:ascii="Times New Roman" w:hAnsi="Times New Roman"/>
          <w:i/>
          <w:iCs/>
          <w:noProof/>
          <w:sz w:val="24"/>
          <w:szCs w:val="24"/>
        </w:rPr>
        <w:t>Iron Oxides in the Laboratary</w:t>
      </w:r>
      <w:r w:rsidRPr="000E43E2">
        <w:rPr>
          <w:rFonts w:ascii="Times New Roman" w:hAnsi="Times New Roman"/>
          <w:noProof/>
          <w:sz w:val="24"/>
          <w:szCs w:val="24"/>
        </w:rPr>
        <w:t>; Wiley-VCH Verlag GmbH: Weinheim, Germany, 2000.</w:t>
      </w:r>
    </w:p>
    <w:p w14:paraId="3E5D990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(13) </w:t>
      </w:r>
      <w:r w:rsidRPr="000E43E2">
        <w:rPr>
          <w:rFonts w:ascii="Times New Roman" w:hAnsi="Times New Roman"/>
          <w:noProof/>
          <w:sz w:val="24"/>
          <w:szCs w:val="24"/>
        </w:rPr>
        <w:tab/>
        <w:t xml:space="preserve">Tamamura, S.; Takada, T.; Tomita, J.; Nagao, S.; Fukushi, K.; Yamamoto, M. Salinity dependence of 226Ra adsorption on montmorillonite and kaolinite. </w:t>
      </w:r>
      <w:r w:rsidRPr="000E43E2">
        <w:rPr>
          <w:rFonts w:ascii="Times New Roman" w:hAnsi="Times New Roman"/>
          <w:i/>
          <w:iCs/>
          <w:noProof/>
          <w:sz w:val="24"/>
          <w:szCs w:val="24"/>
        </w:rPr>
        <w:t xml:space="preserve">J. Radioanal. Nucl. </w:t>
      </w:r>
      <w:r w:rsidRPr="000E43E2">
        <w:rPr>
          <w:rFonts w:ascii="Times New Roman" w:hAnsi="Times New Roman"/>
          <w:i/>
          <w:iCs/>
          <w:noProof/>
          <w:sz w:val="24"/>
          <w:szCs w:val="24"/>
        </w:rPr>
        <w:lastRenderedPageBreak/>
        <w:t>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299</w:t>
      </w:r>
      <w:r w:rsidRPr="000E43E2">
        <w:rPr>
          <w:rFonts w:ascii="Times New Roman" w:hAnsi="Times New Roman"/>
          <w:noProof/>
          <w:sz w:val="24"/>
          <w:szCs w:val="24"/>
        </w:rPr>
        <w:t xml:space="preserve"> (1), 569–575 DOI: 10.1007/s10967-013-2740-3.</w:t>
      </w:r>
    </w:p>
    <w:p w14:paraId="27C5314F"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(14) </w:t>
      </w:r>
      <w:r w:rsidRPr="000E43E2">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2014</w:t>
      </w:r>
      <w:r w:rsidRPr="000E43E2">
        <w:rPr>
          <w:rFonts w:ascii="Times New Roman" w:hAnsi="Times New Roman"/>
          <w:noProof/>
          <w:sz w:val="24"/>
          <w:szCs w:val="24"/>
        </w:rPr>
        <w:t xml:space="preserve">, </w:t>
      </w:r>
      <w:r w:rsidRPr="000E43E2">
        <w:rPr>
          <w:rFonts w:ascii="Times New Roman" w:hAnsi="Times New Roman"/>
          <w:i/>
          <w:iCs/>
          <w:noProof/>
          <w:sz w:val="24"/>
          <w:szCs w:val="24"/>
        </w:rPr>
        <w:t>146</w:t>
      </w:r>
      <w:r w:rsidRPr="000E43E2">
        <w:rPr>
          <w:rFonts w:ascii="Times New Roman" w:hAnsi="Times New Roman"/>
          <w:noProof/>
          <w:sz w:val="24"/>
          <w:szCs w:val="24"/>
        </w:rPr>
        <w:t>, 150–163 DOI: 10.1016/j.gca.2014.10.008.</w:t>
      </w:r>
    </w:p>
    <w:p w14:paraId="5301764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(15) </w:t>
      </w:r>
      <w:r w:rsidRPr="000E43E2">
        <w:rPr>
          <w:rFonts w:ascii="Times New Roman" w:hAnsi="Times New Roman"/>
          <w:noProof/>
          <w:sz w:val="24"/>
          <w:szCs w:val="24"/>
        </w:rPr>
        <w:tab/>
        <w:t xml:space="preserve">Parkhurst, D. L.; Appela, C. A. J. </w:t>
      </w:r>
      <w:r w:rsidRPr="000E43E2">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0E43E2">
        <w:rPr>
          <w:rFonts w:ascii="Times New Roman" w:hAnsi="Times New Roman"/>
          <w:noProof/>
          <w:sz w:val="24"/>
          <w:szCs w:val="24"/>
        </w:rPr>
        <w:t>; 2013.</w:t>
      </w:r>
    </w:p>
    <w:p w14:paraId="7A231559"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(16) </w:t>
      </w:r>
      <w:r w:rsidRPr="000E43E2">
        <w:rPr>
          <w:rFonts w:ascii="Times New Roman" w:hAnsi="Times New Roman"/>
          <w:noProof/>
          <w:sz w:val="24"/>
          <w:szCs w:val="24"/>
        </w:rPr>
        <w:tab/>
        <w:t>Python Software Foundation. Python Language Reference https://www.python.org/.</w:t>
      </w:r>
    </w:p>
    <w:p w14:paraId="2EF6E0D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(17) </w:t>
      </w:r>
      <w:r w:rsidRPr="000E43E2">
        <w:rPr>
          <w:rFonts w:ascii="Times New Roman" w:hAnsi="Times New Roman"/>
          <w:noProof/>
          <w:sz w:val="24"/>
          <w:szCs w:val="24"/>
        </w:rPr>
        <w:tab/>
        <w:t xml:space="preserve">Dzombak, D.; Morel, F. </w:t>
      </w:r>
      <w:r w:rsidRPr="000E43E2">
        <w:rPr>
          <w:rFonts w:ascii="Times New Roman" w:hAnsi="Times New Roman"/>
          <w:i/>
          <w:iCs/>
          <w:noProof/>
          <w:sz w:val="24"/>
          <w:szCs w:val="24"/>
        </w:rPr>
        <w:t>Surface Complexation Modeling: Hydrous Ferric Oxide</w:t>
      </w:r>
      <w:r w:rsidRPr="000E43E2">
        <w:rPr>
          <w:rFonts w:ascii="Times New Roman" w:hAnsi="Times New Roman"/>
          <w:noProof/>
          <w:sz w:val="24"/>
          <w:szCs w:val="24"/>
        </w:rPr>
        <w:t>; Wiley: New York, NY, 1990.</w:t>
      </w:r>
    </w:p>
    <w:p w14:paraId="501C1BA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(18) </w:t>
      </w:r>
      <w:r w:rsidRPr="000E43E2">
        <w:rPr>
          <w:rFonts w:ascii="Times New Roman" w:hAnsi="Times New Roman"/>
          <w:noProof/>
          <w:sz w:val="24"/>
          <w:szCs w:val="24"/>
        </w:rPr>
        <w:tab/>
        <w:t>Mathur, S. S.; Dzombak, D. A. Surface complexation modeling: Goethite; 2006; pp 443–468.</w:t>
      </w:r>
    </w:p>
    <w:p w14:paraId="615CB79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(19) </w:t>
      </w:r>
      <w:r w:rsidRPr="000E43E2">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(9), 2073–2086 DOI: 10.1016/0016-7037(94)90286-0.</w:t>
      </w:r>
    </w:p>
    <w:p w14:paraId="3CFB2BD7"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(20) </w:t>
      </w:r>
      <w:r w:rsidRPr="000E43E2">
        <w:rPr>
          <w:rFonts w:ascii="Times New Roman" w:hAnsi="Times New Roman"/>
          <w:noProof/>
          <w:sz w:val="24"/>
          <w:szCs w:val="24"/>
        </w:rPr>
        <w:tab/>
        <w:t>The Clay Minerals Society. Source Clay Physical/Chemical Data http://clays.org/sourceclays_data.html (accessed Dec 10, 2017).</w:t>
      </w:r>
    </w:p>
    <w:p w14:paraId="0ACD9BBE"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(21) </w:t>
      </w:r>
      <w:r w:rsidRPr="000E43E2">
        <w:rPr>
          <w:rFonts w:ascii="Times New Roman" w:hAnsi="Times New Roman"/>
          <w:noProof/>
          <w:sz w:val="24"/>
          <w:szCs w:val="24"/>
        </w:rPr>
        <w:tab/>
        <w:t xml:space="preserve">Tournassat, C.; Ferrage, E.; Poinsignon, C.; Charlet, L. The titration of clay minerals: II. Structure-based model and implications for clay reactivity.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2004</w:t>
      </w:r>
      <w:r w:rsidRPr="000E43E2">
        <w:rPr>
          <w:rFonts w:ascii="Times New Roman" w:hAnsi="Times New Roman"/>
          <w:noProof/>
          <w:sz w:val="24"/>
          <w:szCs w:val="24"/>
        </w:rPr>
        <w:t xml:space="preserve">, </w:t>
      </w:r>
      <w:r w:rsidRPr="000E43E2">
        <w:rPr>
          <w:rFonts w:ascii="Times New Roman" w:hAnsi="Times New Roman"/>
          <w:i/>
          <w:iCs/>
          <w:noProof/>
          <w:sz w:val="24"/>
          <w:szCs w:val="24"/>
        </w:rPr>
        <w:t>273</w:t>
      </w:r>
      <w:r w:rsidRPr="000E43E2">
        <w:rPr>
          <w:rFonts w:ascii="Times New Roman" w:hAnsi="Times New Roman"/>
          <w:noProof/>
          <w:sz w:val="24"/>
          <w:szCs w:val="24"/>
        </w:rPr>
        <w:t xml:space="preserve"> (1), 234–246 DOI: 10.1016/j.jcis.2003.11.022.</w:t>
      </w:r>
    </w:p>
    <w:p w14:paraId="0CDC8A3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(22) </w:t>
      </w:r>
      <w:r w:rsidRPr="000E43E2">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0E43E2">
        <w:rPr>
          <w:rFonts w:ascii="Times New Roman" w:hAnsi="Times New Roman"/>
          <w:i/>
          <w:iCs/>
          <w:noProof/>
          <w:sz w:val="24"/>
          <w:szCs w:val="24"/>
        </w:rPr>
        <w:t>Aquat.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11</w:t>
      </w:r>
      <w:r w:rsidRPr="000E43E2">
        <w:rPr>
          <w:rFonts w:ascii="Times New Roman" w:hAnsi="Times New Roman"/>
          <w:noProof/>
          <w:sz w:val="24"/>
          <w:szCs w:val="24"/>
        </w:rPr>
        <w:t xml:space="preserve"> (2), 115–137 DOI: 10.1007/s10498-004-1166-5.</w:t>
      </w:r>
    </w:p>
    <w:p w14:paraId="03AE15D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(23) </w:t>
      </w:r>
      <w:r w:rsidRPr="000E43E2">
        <w:rPr>
          <w:rFonts w:ascii="Times New Roman" w:hAnsi="Times New Roman"/>
          <w:noProof/>
          <w:sz w:val="24"/>
          <w:szCs w:val="24"/>
        </w:rPr>
        <w:tab/>
        <w:t xml:space="preserve">Bradbury, M. H.; Baeyens, B. A mechanistic description of Ni and Zn sorption on Part II: modelling. </w:t>
      </w:r>
      <w:r w:rsidRPr="000E43E2">
        <w:rPr>
          <w:rFonts w:ascii="Times New Roman" w:hAnsi="Times New Roman"/>
          <w:i/>
          <w:iCs/>
          <w:noProof/>
          <w:sz w:val="24"/>
          <w:szCs w:val="24"/>
        </w:rPr>
        <w:t>J. Contam. Hydrol.</w:t>
      </w:r>
      <w:r w:rsidRPr="000E43E2">
        <w:rPr>
          <w:rFonts w:ascii="Times New Roman" w:hAnsi="Times New Roman"/>
          <w:noProof/>
          <w:sz w:val="24"/>
          <w:szCs w:val="24"/>
        </w:rPr>
        <w:t xml:space="preserve"> </w:t>
      </w:r>
      <w:r w:rsidRPr="000E43E2">
        <w:rPr>
          <w:rFonts w:ascii="Times New Roman" w:hAnsi="Times New Roman"/>
          <w:b/>
          <w:bCs/>
          <w:noProof/>
          <w:sz w:val="24"/>
          <w:szCs w:val="24"/>
        </w:rPr>
        <w:t>1997</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223–248 DOI: 10.1016/S0169-7722(97)00008-9.</w:t>
      </w:r>
    </w:p>
    <w:p w14:paraId="488816F2"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(24) </w:t>
      </w:r>
      <w:r w:rsidRPr="000E43E2">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69</w:t>
      </w:r>
      <w:r w:rsidRPr="000E43E2">
        <w:rPr>
          <w:rFonts w:ascii="Times New Roman" w:hAnsi="Times New Roman"/>
          <w:noProof/>
          <w:sz w:val="24"/>
          <w:szCs w:val="24"/>
        </w:rPr>
        <w:t xml:space="preserve"> (4), 875–892 DOI: 10.1016/j.gca.2004.07.020.</w:t>
      </w:r>
    </w:p>
    <w:p w14:paraId="27E50CD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(25) </w:t>
      </w:r>
      <w:r w:rsidRPr="000E43E2">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0E43E2">
        <w:rPr>
          <w:rFonts w:ascii="Times New Roman" w:hAnsi="Times New Roman"/>
          <w:i/>
          <w:iCs/>
          <w:noProof/>
          <w:sz w:val="24"/>
          <w:szCs w:val="24"/>
        </w:rPr>
        <w:t>Science</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316</w:t>
      </w:r>
      <w:r w:rsidRPr="000E43E2">
        <w:rPr>
          <w:rFonts w:ascii="Times New Roman" w:hAnsi="Times New Roman"/>
          <w:noProof/>
          <w:sz w:val="24"/>
          <w:szCs w:val="24"/>
        </w:rPr>
        <w:t xml:space="preserve"> (5832), 1726–1729 DOI: 10.1126/science.1142525.</w:t>
      </w:r>
    </w:p>
    <w:p w14:paraId="192A868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(26) </w:t>
      </w:r>
      <w:r w:rsidRPr="000E43E2">
        <w:rPr>
          <w:rFonts w:ascii="Times New Roman" w:hAnsi="Times New Roman"/>
          <w:noProof/>
          <w:sz w:val="24"/>
          <w:szCs w:val="24"/>
        </w:rPr>
        <w:tab/>
        <w:t xml:space="preserve">Cornell, R. M.; Schwertmann, U. Crystal structure. In </w:t>
      </w:r>
      <w:r w:rsidRPr="000E43E2">
        <w:rPr>
          <w:rFonts w:ascii="Times New Roman" w:hAnsi="Times New Roman"/>
          <w:i/>
          <w:iCs/>
          <w:noProof/>
          <w:sz w:val="24"/>
          <w:szCs w:val="24"/>
        </w:rPr>
        <w:t>The Iron Oxides: Structure, Properties, Reactions, Occurences and Uses</w:t>
      </w:r>
      <w:r w:rsidRPr="000E43E2">
        <w:rPr>
          <w:rFonts w:ascii="Times New Roman" w:hAnsi="Times New Roman"/>
          <w:noProof/>
          <w:sz w:val="24"/>
          <w:szCs w:val="24"/>
        </w:rPr>
        <w:t>; Wiley-VCH Verlag GmbH, 2003; pp 9–38.</w:t>
      </w:r>
    </w:p>
    <w:p w14:paraId="0F77842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(27) </w:t>
      </w:r>
      <w:r w:rsidRPr="000E43E2">
        <w:rPr>
          <w:rFonts w:ascii="Times New Roman" w:hAnsi="Times New Roman"/>
          <w:noProof/>
          <w:sz w:val="24"/>
          <w:szCs w:val="24"/>
        </w:rPr>
        <w:tab/>
        <w:t xml:space="preserve">Ames, L.; McGarrah, J.; Walker, B. Sorption of trace constituents from aqueous solutions </w:t>
      </w:r>
      <w:r w:rsidRPr="000E43E2">
        <w:rPr>
          <w:rFonts w:ascii="Times New Roman" w:hAnsi="Times New Roman"/>
          <w:noProof/>
          <w:sz w:val="24"/>
          <w:szCs w:val="24"/>
        </w:rPr>
        <w:lastRenderedPageBreak/>
        <w:t xml:space="preserve">onto secondary minerals. II. Radium. </w:t>
      </w:r>
      <w:r w:rsidRPr="000E43E2">
        <w:rPr>
          <w:rFonts w:ascii="Times New Roman" w:hAnsi="Times New Roman"/>
          <w:i/>
          <w:iCs/>
          <w:noProof/>
          <w:sz w:val="24"/>
          <w:szCs w:val="24"/>
        </w:rPr>
        <w:t>Clays Clay Miner.</w:t>
      </w:r>
      <w:r w:rsidRPr="000E43E2">
        <w:rPr>
          <w:rFonts w:ascii="Times New Roman" w:hAnsi="Times New Roman"/>
          <w:noProof/>
          <w:sz w:val="24"/>
          <w:szCs w:val="24"/>
        </w:rPr>
        <w:t xml:space="preserve"> </w:t>
      </w:r>
      <w:r w:rsidRPr="000E43E2">
        <w:rPr>
          <w:rFonts w:ascii="Times New Roman" w:hAnsi="Times New Roman"/>
          <w:b/>
          <w:bCs/>
          <w:noProof/>
          <w:sz w:val="24"/>
          <w:szCs w:val="24"/>
        </w:rPr>
        <w:t>1983</w:t>
      </w:r>
      <w:r w:rsidRPr="000E43E2">
        <w:rPr>
          <w:rFonts w:ascii="Times New Roman" w:hAnsi="Times New Roman"/>
          <w:noProof/>
          <w:sz w:val="24"/>
          <w:szCs w:val="24"/>
        </w:rPr>
        <w:t xml:space="preserve">, </w:t>
      </w:r>
      <w:r w:rsidRPr="000E43E2">
        <w:rPr>
          <w:rFonts w:ascii="Times New Roman" w:hAnsi="Times New Roman"/>
          <w:i/>
          <w:iCs/>
          <w:noProof/>
          <w:sz w:val="24"/>
          <w:szCs w:val="24"/>
        </w:rPr>
        <w:t>31</w:t>
      </w:r>
      <w:r w:rsidRPr="000E43E2">
        <w:rPr>
          <w:rFonts w:ascii="Times New Roman" w:hAnsi="Times New Roman"/>
          <w:noProof/>
          <w:sz w:val="24"/>
          <w:szCs w:val="24"/>
        </w:rPr>
        <w:t xml:space="preserve"> (5), 335–342.</w:t>
      </w:r>
    </w:p>
    <w:p w14:paraId="7716360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(28) </w:t>
      </w:r>
      <w:r w:rsidRPr="000E43E2">
        <w:rPr>
          <w:rFonts w:ascii="Times New Roman" w:hAnsi="Times New Roman"/>
          <w:noProof/>
          <w:sz w:val="24"/>
          <w:szCs w:val="24"/>
        </w:rPr>
        <w:tab/>
        <w:t xml:space="preserve">Naveau, A.; Monteil-Rivera, F.; Dumonceau, J.; Catalette, H.; Simoni, E. Sorption of Sr(II) and Eu(III) onto pyrite under different redox potential conditions.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2006</w:t>
      </w:r>
      <w:r w:rsidRPr="000E43E2">
        <w:rPr>
          <w:rFonts w:ascii="Times New Roman" w:hAnsi="Times New Roman"/>
          <w:noProof/>
          <w:sz w:val="24"/>
          <w:szCs w:val="24"/>
        </w:rPr>
        <w:t xml:space="preserve">, </w:t>
      </w:r>
      <w:r w:rsidRPr="000E43E2">
        <w:rPr>
          <w:rFonts w:ascii="Times New Roman" w:hAnsi="Times New Roman"/>
          <w:i/>
          <w:iCs/>
          <w:noProof/>
          <w:sz w:val="24"/>
          <w:szCs w:val="24"/>
        </w:rPr>
        <w:t>293</w:t>
      </w:r>
      <w:r w:rsidRPr="000E43E2">
        <w:rPr>
          <w:rFonts w:ascii="Times New Roman" w:hAnsi="Times New Roman"/>
          <w:noProof/>
          <w:sz w:val="24"/>
          <w:szCs w:val="24"/>
        </w:rPr>
        <w:t xml:space="preserve"> (1), 27–35 DOI: 10.1016/j.jcis.2005.06.049.</w:t>
      </w:r>
    </w:p>
    <w:p w14:paraId="2A2333D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(29) </w:t>
      </w:r>
      <w:r w:rsidRPr="000E43E2">
        <w:rPr>
          <w:rFonts w:ascii="Times New Roman" w:hAnsi="Times New Roman"/>
          <w:noProof/>
          <w:sz w:val="24"/>
          <w:szCs w:val="24"/>
        </w:rPr>
        <w:tab/>
        <w:t xml:space="preserve">Murphy, R.; Strongin, D. Surface reactivity of pyrite and related sulfides. </w:t>
      </w:r>
      <w:r w:rsidRPr="000E43E2">
        <w:rPr>
          <w:rFonts w:ascii="Times New Roman" w:hAnsi="Times New Roman"/>
          <w:i/>
          <w:iCs/>
          <w:noProof/>
          <w:sz w:val="24"/>
          <w:szCs w:val="24"/>
        </w:rPr>
        <w:t>Surf. Sci. Rep.</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(1), 1–45 DOI: 10.1016/j.surfrep.2008.09.002.</w:t>
      </w:r>
    </w:p>
    <w:p w14:paraId="2388604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(30) </w:t>
      </w:r>
      <w:r w:rsidRPr="000E43E2">
        <w:rPr>
          <w:rFonts w:ascii="Times New Roman" w:hAnsi="Times New Roman"/>
          <w:noProof/>
          <w:sz w:val="24"/>
          <w:szCs w:val="24"/>
        </w:rPr>
        <w:tab/>
        <w:t xml:space="preserve">Kornicker, W. A.; Morse, J. W. Interactions of divalent cations with the surface of pyrite.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1991</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xml:space="preserve"> (8), 2159–2171 DOI: 10.1016/0016-7037(91)90094-L.</w:t>
      </w:r>
    </w:p>
    <w:p w14:paraId="41E32F5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(31) </w:t>
      </w:r>
      <w:r w:rsidRPr="000E43E2">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(13), 2829–2843 DOI: 10.1016/0016-7037(94)90117-1.</w:t>
      </w:r>
    </w:p>
    <w:p w14:paraId="439C978A"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(32) </w:t>
      </w:r>
      <w:r w:rsidRPr="000E43E2">
        <w:rPr>
          <w:rFonts w:ascii="Times New Roman" w:hAnsi="Times New Roman"/>
          <w:noProof/>
          <w:sz w:val="24"/>
          <w:szCs w:val="24"/>
        </w:rPr>
        <w:tab/>
        <w:t xml:space="preserve">Naveau, A.; Monteil-Rivera, F.; Guillon, E.; Dumonceau, J. Interactions of aqueous selenium (-II) and (IV) with metallic sulfide surfaces.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41</w:t>
      </w:r>
      <w:r w:rsidRPr="000E43E2">
        <w:rPr>
          <w:rFonts w:ascii="Times New Roman" w:hAnsi="Times New Roman"/>
          <w:noProof/>
          <w:sz w:val="24"/>
          <w:szCs w:val="24"/>
        </w:rPr>
        <w:t xml:space="preserve"> (15), 5376–5382 DOI: 10.1021/es0704481.</w:t>
      </w:r>
    </w:p>
    <w:p w14:paraId="696E6F0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rPr>
      </w:pPr>
      <w:r w:rsidRPr="000E43E2">
        <w:rPr>
          <w:rFonts w:ascii="Times New Roman" w:hAnsi="Times New Roman"/>
          <w:noProof/>
          <w:sz w:val="24"/>
          <w:szCs w:val="24"/>
        </w:rPr>
        <w:t xml:space="preserve">(33) </w:t>
      </w:r>
      <w:r w:rsidRPr="000E43E2">
        <w:rPr>
          <w:rFonts w:ascii="Times New Roman" w:hAnsi="Times New Roman"/>
          <w:noProof/>
          <w:sz w:val="24"/>
          <w:szCs w:val="24"/>
        </w:rPr>
        <w:tab/>
        <w:t xml:space="preserve">Das, D. K.; Pathak, P. N.; Kumar, S.; Manchanda, V. K. Sorption behavior of Am3+ on suspended pyrite. </w:t>
      </w:r>
      <w:r w:rsidRPr="000E43E2">
        <w:rPr>
          <w:rFonts w:ascii="Times New Roman" w:hAnsi="Times New Roman"/>
          <w:i/>
          <w:iCs/>
          <w:noProof/>
          <w:sz w:val="24"/>
          <w:szCs w:val="24"/>
        </w:rPr>
        <w:t>J. Radioanal. Nucl.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281</w:t>
      </w:r>
      <w:r w:rsidRPr="000E43E2">
        <w:rPr>
          <w:rFonts w:ascii="Times New Roman" w:hAnsi="Times New Roman"/>
          <w:noProof/>
          <w:sz w:val="24"/>
          <w:szCs w:val="24"/>
        </w:rPr>
        <w:t xml:space="preserve"> (3), 449–455 DOI: 10.1007/s10967-009-0030-x.</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00B8B" w14:textId="77777777" w:rsidR="00B13DC7" w:rsidRDefault="00B13DC7">
      <w:pPr>
        <w:spacing w:after="0" w:line="240" w:lineRule="auto"/>
      </w:pPr>
      <w:r>
        <w:separator/>
      </w:r>
    </w:p>
  </w:endnote>
  <w:endnote w:type="continuationSeparator" w:id="0">
    <w:p w14:paraId="071B9243" w14:textId="77777777" w:rsidR="00B13DC7" w:rsidRDefault="00B13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214C6" w14:textId="77777777" w:rsidR="00B13DC7" w:rsidRDefault="00B13DC7">
      <w:pPr>
        <w:spacing w:after="0" w:line="240" w:lineRule="auto"/>
      </w:pPr>
      <w:r>
        <w:separator/>
      </w:r>
    </w:p>
  </w:footnote>
  <w:footnote w:type="continuationSeparator" w:id="0">
    <w:p w14:paraId="04F4F7B7" w14:textId="77777777" w:rsidR="00B13DC7" w:rsidRDefault="00B13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037F2F09" w:rsidR="00E579F4" w:rsidRDefault="00E579F4">
    <w:pPr>
      <w:pStyle w:val="Header"/>
      <w:jc w:val="right"/>
    </w:pPr>
    <w:r>
      <w:fldChar w:fldCharType="begin"/>
    </w:r>
    <w:r>
      <w:instrText xml:space="preserve"> PAGE   \* MERGEFORMAT </w:instrText>
    </w:r>
    <w:r>
      <w:fldChar w:fldCharType="separate"/>
    </w:r>
    <w:r w:rsidR="0036334A">
      <w:rPr>
        <w:noProof/>
      </w:rPr>
      <w:t>19</w:t>
    </w:r>
    <w:r>
      <w:rPr>
        <w:noProof/>
      </w:rPr>
      <w:fldChar w:fldCharType="end"/>
    </w:r>
  </w:p>
  <w:p w14:paraId="262FB3CE" w14:textId="77777777" w:rsidR="00E579F4" w:rsidRDefault="00E57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284D"/>
    <w:rsid w:val="00011BE6"/>
    <w:rsid w:val="00043768"/>
    <w:rsid w:val="00044C20"/>
    <w:rsid w:val="00051435"/>
    <w:rsid w:val="00066BA9"/>
    <w:rsid w:val="00067FE6"/>
    <w:rsid w:val="00084EB3"/>
    <w:rsid w:val="000A18AD"/>
    <w:rsid w:val="000A31D5"/>
    <w:rsid w:val="000B1259"/>
    <w:rsid w:val="000B4FE4"/>
    <w:rsid w:val="000B60C2"/>
    <w:rsid w:val="000E0D05"/>
    <w:rsid w:val="000E43E2"/>
    <w:rsid w:val="001035CF"/>
    <w:rsid w:val="00136B64"/>
    <w:rsid w:val="001438C3"/>
    <w:rsid w:val="001700C3"/>
    <w:rsid w:val="0017065F"/>
    <w:rsid w:val="00175B50"/>
    <w:rsid w:val="00184E50"/>
    <w:rsid w:val="001A3396"/>
    <w:rsid w:val="001A7F70"/>
    <w:rsid w:val="001C11DD"/>
    <w:rsid w:val="001C3ECD"/>
    <w:rsid w:val="001C7D2C"/>
    <w:rsid w:val="001E6C16"/>
    <w:rsid w:val="00206AAE"/>
    <w:rsid w:val="00230EAA"/>
    <w:rsid w:val="00233256"/>
    <w:rsid w:val="002339FA"/>
    <w:rsid w:val="00233AFE"/>
    <w:rsid w:val="00233CFB"/>
    <w:rsid w:val="0023760D"/>
    <w:rsid w:val="0024027E"/>
    <w:rsid w:val="00253036"/>
    <w:rsid w:val="00253443"/>
    <w:rsid w:val="00265CBE"/>
    <w:rsid w:val="00266F60"/>
    <w:rsid w:val="00272FCD"/>
    <w:rsid w:val="00273F42"/>
    <w:rsid w:val="002751C4"/>
    <w:rsid w:val="00285500"/>
    <w:rsid w:val="00287744"/>
    <w:rsid w:val="002A16C2"/>
    <w:rsid w:val="002B1841"/>
    <w:rsid w:val="002B2823"/>
    <w:rsid w:val="002B5BFC"/>
    <w:rsid w:val="002C0479"/>
    <w:rsid w:val="002D2DC9"/>
    <w:rsid w:val="002E04B8"/>
    <w:rsid w:val="002F3782"/>
    <w:rsid w:val="0031075C"/>
    <w:rsid w:val="003156B5"/>
    <w:rsid w:val="00316356"/>
    <w:rsid w:val="00317B12"/>
    <w:rsid w:val="003245D7"/>
    <w:rsid w:val="0036334A"/>
    <w:rsid w:val="00371057"/>
    <w:rsid w:val="00381895"/>
    <w:rsid w:val="00383503"/>
    <w:rsid w:val="00390EB6"/>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23675"/>
    <w:rsid w:val="00430752"/>
    <w:rsid w:val="004423AC"/>
    <w:rsid w:val="00456915"/>
    <w:rsid w:val="00460312"/>
    <w:rsid w:val="00465657"/>
    <w:rsid w:val="004678F0"/>
    <w:rsid w:val="00467D2D"/>
    <w:rsid w:val="00473FB0"/>
    <w:rsid w:val="0047655C"/>
    <w:rsid w:val="00476AD6"/>
    <w:rsid w:val="004B4720"/>
    <w:rsid w:val="004D72EC"/>
    <w:rsid w:val="004F1DBA"/>
    <w:rsid w:val="00501B5D"/>
    <w:rsid w:val="00502D9F"/>
    <w:rsid w:val="00503829"/>
    <w:rsid w:val="00511DA6"/>
    <w:rsid w:val="005140C2"/>
    <w:rsid w:val="00521A58"/>
    <w:rsid w:val="00531539"/>
    <w:rsid w:val="0054218F"/>
    <w:rsid w:val="00551AEE"/>
    <w:rsid w:val="0056566C"/>
    <w:rsid w:val="005A1C20"/>
    <w:rsid w:val="005A20AF"/>
    <w:rsid w:val="005E0FA1"/>
    <w:rsid w:val="005E6680"/>
    <w:rsid w:val="005F633D"/>
    <w:rsid w:val="0061305D"/>
    <w:rsid w:val="006207AB"/>
    <w:rsid w:val="0062437A"/>
    <w:rsid w:val="0064318C"/>
    <w:rsid w:val="0064647A"/>
    <w:rsid w:val="00666301"/>
    <w:rsid w:val="00670A89"/>
    <w:rsid w:val="00673DDA"/>
    <w:rsid w:val="00674F94"/>
    <w:rsid w:val="0068033A"/>
    <w:rsid w:val="00681CD3"/>
    <w:rsid w:val="006A064E"/>
    <w:rsid w:val="006A22C0"/>
    <w:rsid w:val="006B16EF"/>
    <w:rsid w:val="006C3963"/>
    <w:rsid w:val="006D212E"/>
    <w:rsid w:val="006D6CF5"/>
    <w:rsid w:val="006E1E20"/>
    <w:rsid w:val="006E3ED3"/>
    <w:rsid w:val="006F361F"/>
    <w:rsid w:val="00700D15"/>
    <w:rsid w:val="007267BF"/>
    <w:rsid w:val="00726EE4"/>
    <w:rsid w:val="0072768C"/>
    <w:rsid w:val="007314D0"/>
    <w:rsid w:val="007457AD"/>
    <w:rsid w:val="007624A6"/>
    <w:rsid w:val="0079455C"/>
    <w:rsid w:val="007A4395"/>
    <w:rsid w:val="007A7224"/>
    <w:rsid w:val="007B601E"/>
    <w:rsid w:val="007C6F69"/>
    <w:rsid w:val="007D270C"/>
    <w:rsid w:val="007E4431"/>
    <w:rsid w:val="007F4184"/>
    <w:rsid w:val="0080152B"/>
    <w:rsid w:val="0082091F"/>
    <w:rsid w:val="00825626"/>
    <w:rsid w:val="008257E2"/>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675B7"/>
    <w:rsid w:val="0097354A"/>
    <w:rsid w:val="00975E31"/>
    <w:rsid w:val="009836C6"/>
    <w:rsid w:val="009B7C79"/>
    <w:rsid w:val="009C218A"/>
    <w:rsid w:val="009D41AC"/>
    <w:rsid w:val="009E07F7"/>
    <w:rsid w:val="009E2234"/>
    <w:rsid w:val="00A07E3C"/>
    <w:rsid w:val="00A17132"/>
    <w:rsid w:val="00A41526"/>
    <w:rsid w:val="00A419C8"/>
    <w:rsid w:val="00A51C43"/>
    <w:rsid w:val="00A5520F"/>
    <w:rsid w:val="00A848C9"/>
    <w:rsid w:val="00AA2ECD"/>
    <w:rsid w:val="00AB0D87"/>
    <w:rsid w:val="00AD5B6F"/>
    <w:rsid w:val="00AD702B"/>
    <w:rsid w:val="00AE2ED1"/>
    <w:rsid w:val="00AF11A1"/>
    <w:rsid w:val="00AF3251"/>
    <w:rsid w:val="00B07769"/>
    <w:rsid w:val="00B111D5"/>
    <w:rsid w:val="00B13DC7"/>
    <w:rsid w:val="00B2065B"/>
    <w:rsid w:val="00B26568"/>
    <w:rsid w:val="00B3296D"/>
    <w:rsid w:val="00B4661F"/>
    <w:rsid w:val="00B66614"/>
    <w:rsid w:val="00B71417"/>
    <w:rsid w:val="00B74120"/>
    <w:rsid w:val="00B75B63"/>
    <w:rsid w:val="00B75F9E"/>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D01D94"/>
    <w:rsid w:val="00D42323"/>
    <w:rsid w:val="00D60ED8"/>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6ACD"/>
    <w:rsid w:val="00EB35C6"/>
    <w:rsid w:val="00EC1B2F"/>
    <w:rsid w:val="00ED2B10"/>
    <w:rsid w:val="00ED5AC1"/>
    <w:rsid w:val="00EF54EA"/>
    <w:rsid w:val="00F10654"/>
    <w:rsid w:val="00F10F0F"/>
    <w:rsid w:val="00F2326E"/>
    <w:rsid w:val="00F3184E"/>
    <w:rsid w:val="00F54F72"/>
    <w:rsid w:val="00F8785B"/>
    <w:rsid w:val="00FB0CE8"/>
    <w:rsid w:val="00FB69D5"/>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E0999E-DBA2-48BE-BAE0-D5A76034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17888</Words>
  <Characters>101966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119615</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cp:revision>
  <cp:lastPrinted>2017-10-12T19:08:00Z</cp:lastPrinted>
  <dcterms:created xsi:type="dcterms:W3CDTF">2017-11-21T16:37:00Z</dcterms:created>
  <dcterms:modified xsi:type="dcterms:W3CDTF">2017-11-23T15:45:00Z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