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60" w:line="259" w:lineRule="auto"/>
      </w:pPr>
      <w:r>
        <w:rPr>
          <w:rFonts w:ascii="Arial" w:hAnsi="Arial" w:eastAsia="Arial"/>
          <w:b/>
          <w:i w:val="0"/>
          <w:color w:val="171A17"/>
          <w:sz w:val="22"/>
        </w:rPr>
        <w:t>BO</w:t>
      </w:r>
    </w:p>
    <w:p>
      <w:pPr>
        <w:keepNext w:val="0"/>
        <w:spacing w:before="0" w:after="36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73952" cy="3090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3090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40" w:line="252" w:lineRule="auto"/>
      </w:pPr>
      <w:r>
        <w:rPr>
          <w:rFonts w:ascii="Arial" w:hAnsi="Arial" w:eastAsia="Arial"/>
          <w:b/>
          <w:i w:val="0"/>
          <w:color w:val="3B423F"/>
          <w:sz w:val="16"/>
        </w:rPr>
        <w:t>INVESTOR VALUE PROPOSITION</w:t>
      </w:r>
    </w:p>
    <w:p>
      <w:pPr>
        <w:keepNext w:val="0"/>
        <w:spacing w:before="0" w:after="240" w:line="216" w:lineRule="auto"/>
      </w:pPr>
      <w:r>
        <w:rPr>
          <w:rFonts w:ascii="Arial" w:hAnsi="Arial" w:eastAsia="Arial"/>
          <w:b/>
          <w:i w:val="0"/>
          <w:color w:val="171A17"/>
          <w:sz w:val="54"/>
        </w:rPr>
        <w:t>The business operating system</w:t>
        <w:br/>
        <w:t>that builds itself around the company.</w:t>
      </w:r>
    </w:p>
    <w:p>
      <w:pPr>
        <w:keepNext w:val="0"/>
        <w:spacing w:before="0" w:after="360" w:line="259" w:lineRule="auto"/>
      </w:pPr>
      <w:r>
        <w:rPr>
          <w:rFonts w:ascii="Arial" w:hAnsi="Arial" w:eastAsia="Arial"/>
          <w:b w:val="0"/>
          <w:i w:val="0"/>
          <w:color w:val="3B423F"/>
          <w:sz w:val="22"/>
        </w:rPr>
        <w:t>BO turns a plain-language description into a tailored Command Center: the records, workflows, metrics, controls, and connected data a company needs to operate.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01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0"/>
              </w:rPr>
              <w:t>Immediate value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6"/>
              </w:rPr>
              <w:t>A working system appears before the buyer commits to a configuration project.</w:t>
            </w:r>
          </w:p>
        </w:tc>
        <w:tc>
          <w:tcPr>
            <w:tcW w:type="dxa" w:w="3321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02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0"/>
              </w:rPr>
              <w:t>Structural differentiation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6"/>
              </w:rPr>
              <w:t>The product compiles from company evidence instead of exposing a generic suite.</w:t>
            </w:r>
          </w:p>
        </w:tc>
        <w:tc>
          <w:tcPr>
            <w:tcW w:type="dxa" w:w="3321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03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0"/>
              </w:rPr>
              <w:t>Compounding moat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6"/>
              </w:rPr>
              <w:t>Anonymous industry-level corrections make later builds more accurate.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140" w:line="252" w:lineRule="auto"/>
      </w:pPr>
      <w:r>
        <w:rPr>
          <w:rFonts w:ascii="Arial" w:hAnsi="Arial" w:eastAsia="Arial"/>
          <w:b/>
          <w:i w:val="0"/>
          <w:color w:val="3B423F"/>
          <w:sz w:val="16"/>
        </w:rPr>
        <w:t>01 / INVESTMENT CASE</w:t>
      </w:r>
    </w:p>
    <w:p>
      <w:pPr>
        <w:keepNext/>
        <w:spacing w:before="0" w:after="160" w:line="226" w:lineRule="auto"/>
      </w:pPr>
      <w:r>
        <w:rPr>
          <w:rFonts w:ascii="Arial" w:hAnsi="Arial" w:eastAsia="Arial"/>
          <w:b/>
          <w:i w:val="0"/>
          <w:color w:val="171A17"/>
          <w:sz w:val="50"/>
        </w:rPr>
        <w:t>A large gap between spreadsheets and ERP</w:t>
      </w:r>
    </w:p>
    <w:p>
      <w:pPr>
        <w:keepNext w:val="0"/>
        <w:spacing w:before="0" w:after="260" w:line="259" w:lineRule="auto"/>
      </w:pPr>
      <w:r>
        <w:rPr>
          <w:rFonts w:ascii="Arial" w:hAnsi="Arial" w:eastAsia="Arial"/>
          <w:b w:val="0"/>
          <w:i w:val="0"/>
          <w:color w:val="666E67"/>
          <w:sz w:val="21"/>
        </w:rPr>
        <w:t>Smaller operating companies are forced to choose between fragmentation and an implementation project.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TODAY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Fragmented tools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Payments, CRM, accounting, scheduling, and spreadsheets each hold part of the truth. Teams re-key data and reconcile by hand.</w:t>
            </w:r>
          </w:p>
        </w:tc>
        <w:tc>
          <w:tcPr>
            <w:tcW w:type="dxa" w:w="3321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ALTERNATIVE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Overbuilt suites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ERP and CRM suites ship broad module catalogs, then transfer the burden of configuration, training, and process design to the buyer.</w:t>
            </w:r>
          </w:p>
        </w:tc>
        <w:tc>
          <w:tcPr>
            <w:tcW w:type="dxa" w:w="3321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CONSEQUENCE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Operational blind spots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Ownership, handoffs, exceptions, and definitions live in people rather than in one usable operating model.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95"/>
      </w:tblGrid>
      <w:tr>
        <w:tc>
          <w:tcPr>
            <w:tcW w:type="dxa" w:w="10195"/>
            <w:shd w:fill="F4F5F2"/>
            <w:tcMar>
              <w:top w:w="190" w:type="dxa"/>
              <w:start w:w="220" w:type="dxa"/>
              <w:bottom w:w="180" w:type="dxa"/>
              <w:end w:w="220" w:type="dxa"/>
            </w:tcMar>
            <w:tcBorders>
              <w:top w:val="single" w:sz="10" w:color="3B423F"/>
            </w:tcBorders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5"/>
              </w:rPr>
              <w:t>BO'S WEDGE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8"/>
              </w:rPr>
              <w:t>Outgrown spreadsheets. Not ready for a six-month ERP program.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9"/>
              </w:rPr>
              <w:t>The initial target is an operationally real company, roughly 5-200 employees, without a dedicated systems administrator. The strongest early verticals have specific workflows: field services, trades, logistics, studios, clinics, and small manufacturers.</w:t>
            </w:r>
          </w:p>
        </w:tc>
      </w:tr>
    </w:tbl>
    <w:p>
      <w:pPr>
        <w:spacing w:after="20"/>
      </w:pPr>
    </w:p>
    <w:p>
      <w:pPr>
        <w:keepNext/>
        <w:spacing w:before="0" w:after="120" w:line="259" w:lineRule="auto"/>
      </w:pPr>
      <w:r>
        <w:rPr>
          <w:rFonts w:ascii="Arial" w:hAnsi="Arial" w:eastAsia="Arial"/>
          <w:b/>
          <w:i w:val="0"/>
          <w:color w:val="171A17"/>
          <w:sz w:val="24"/>
        </w:rPr>
        <w:t>The category shift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9"/>
        <w:gridCol w:w="7056"/>
      </w:tblGrid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Traditional software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Choose a product, select modules, configure fields, map processes, migrate data, train users.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BO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Describe the business, answer only material gaps, review BO's understanding, receive the configured Command Center.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Investor implication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The demonstration is the product. BO can prove relevance before asking a company to switch or pay.</w:t>
            </w:r>
          </w:p>
        </w:tc>
      </w:tr>
    </w:tbl>
    <w:p>
      <w:pPr>
        <w:spacing w:after="20"/>
      </w:pPr>
    </w:p>
    <w:p>
      <w:pPr>
        <w:keepNext w:val="0"/>
        <w:spacing w:before="160" w:after="0" w:line="259" w:lineRule="auto"/>
      </w:pPr>
      <w:r>
        <w:rPr>
          <w:rFonts w:ascii="Arial" w:hAnsi="Arial" w:eastAsia="Arial"/>
          <w:b w:val="0"/>
          <w:i/>
          <w:color w:val="666E67"/>
          <w:sz w:val="16"/>
        </w:rPr>
        <w:t>No unsupported market-size or traction figures are used in this brief. The investment case rests on product architecture, customer economics, and milestones that can be measured.</w:t>
      </w:r>
    </w:p>
    <w:p>
      <w:r>
        <w:br w:type="page"/>
      </w:r>
    </w:p>
    <w:p>
      <w:pPr>
        <w:keepNext/>
        <w:spacing w:before="0" w:after="140" w:line="252" w:lineRule="auto"/>
      </w:pPr>
      <w:r>
        <w:rPr>
          <w:rFonts w:ascii="Arial" w:hAnsi="Arial" w:eastAsia="Arial"/>
          <w:b/>
          <w:i w:val="0"/>
          <w:color w:val="3B423F"/>
          <w:sz w:val="16"/>
        </w:rPr>
        <w:t>02 / INVESTMENT CASE</w:t>
      </w:r>
    </w:p>
    <w:p>
      <w:pPr>
        <w:keepNext/>
        <w:spacing w:before="0" w:after="160" w:line="226" w:lineRule="auto"/>
      </w:pPr>
      <w:r>
        <w:rPr>
          <w:rFonts w:ascii="Arial" w:hAnsi="Arial" w:eastAsia="Arial"/>
          <w:b/>
          <w:i w:val="0"/>
          <w:color w:val="171A17"/>
          <w:sz w:val="50"/>
        </w:rPr>
        <w:t>One sentence becomes an operating model</w:t>
      </w:r>
    </w:p>
    <w:p>
      <w:pPr>
        <w:keepNext w:val="0"/>
        <w:spacing w:before="0" w:after="260" w:line="259" w:lineRule="auto"/>
      </w:pPr>
      <w:r>
        <w:rPr>
          <w:rFonts w:ascii="Arial" w:hAnsi="Arial" w:eastAsia="Arial"/>
          <w:b w:val="0"/>
          <w:i w:val="0"/>
          <w:color w:val="666E67"/>
          <w:sz w:val="21"/>
        </w:rPr>
        <w:t>BO asks only what can change the result, then compiles company knowledge into software.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1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Describe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6"/>
              </w:rPr>
              <w:t>The operator explains the company in ordinary language.</w:t>
            </w:r>
          </w:p>
        </w:tc>
        <w:tc>
          <w:tcPr>
            <w:tcW w:type="dxa" w:w="3321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2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Classify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6"/>
              </w:rPr>
              <w:t>BO maps the company to an industry and operating archetype.</w:t>
            </w:r>
          </w:p>
        </w:tc>
        <w:tc>
          <w:tcPr>
            <w:tcW w:type="dxa" w:w="3321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3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Resolve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6"/>
              </w:rPr>
              <w:t>High-information questions settle undecided capabilities.</w:t>
            </w:r>
          </w:p>
        </w:tc>
      </w:tr>
      <w:tr>
        <w:tc>
          <w:tcPr>
            <w:tcW w:type="dxa" w:w="3321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4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Compile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6"/>
              </w:rPr>
              <w:t>Evidence becomes records, pages, KPIs, workflows, and controls.</w:t>
            </w:r>
          </w:p>
        </w:tc>
        <w:tc>
          <w:tcPr>
            <w:tcW w:type="dxa" w:w="3321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5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Connect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6"/>
              </w:rPr>
              <w:t>Existing systems remain the source of record where appropriate.</w:t>
            </w:r>
          </w:p>
        </w:tc>
        <w:tc>
          <w:tcPr>
            <w:tcW w:type="dxa" w:w="3321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6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Evolve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6"/>
              </w:rPr>
              <w:t>Approved changes create a new, versioned Command Center.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95"/>
      </w:tblGrid>
      <w:tr>
        <w:tc>
          <w:tcPr>
            <w:tcW w:type="dxa" w:w="10195"/>
            <w:shd w:fill="E9ECE7"/>
            <w:tcMar>
              <w:top w:w="190" w:type="dxa"/>
              <w:start w:w="220" w:type="dxa"/>
              <w:bottom w:w="180" w:type="dxa"/>
              <w:end w:w="220" w:type="dxa"/>
            </w:tcMar>
            <w:tcBorders>
              <w:top w:val="single" w:sz="10" w:color="3B423F"/>
            </w:tcBorders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5"/>
              </w:rPr>
              <w:t>PRODUCT RULE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8"/>
              </w:rPr>
              <w:t>BO installs structure, never fiction.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9"/>
              </w:rPr>
              <w:t>A generated workspace can contain record types, relationships, workflows, responsibilities, controls, and unconfigured metrics. It must not invent customers, transactions, employees, performance figures, or operational alerts.</w:t>
            </w:r>
          </w:p>
        </w:tc>
      </w:tr>
    </w:tbl>
    <w:p>
      <w:pPr>
        <w:spacing w:after="20"/>
      </w:pPr>
    </w:p>
    <w:p>
      <w:pPr>
        <w:keepNext/>
        <w:spacing w:before="0" w:after="140" w:line="259" w:lineRule="auto"/>
      </w:pPr>
      <w:r>
        <w:rPr>
          <w:rFonts w:ascii="Arial" w:hAnsi="Arial" w:eastAsia="Arial"/>
          <w:b/>
          <w:i w:val="0"/>
          <w:color w:val="171A17"/>
          <w:sz w:val="24"/>
        </w:rPr>
        <w:t>A deeper operating model, without changing how BO works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9"/>
        <w:gridCol w:w="7056"/>
      </w:tblGrid>
      <w:tr>
        <w:tc>
          <w:tcPr>
            <w:tcW w:type="dxa" w:w="3139"/>
            <w:shd w:fill="3B423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OPERATING KNOWLEDGE</w:t>
            </w:r>
          </w:p>
        </w:tc>
        <w:tc>
          <w:tcPr>
            <w:tcW w:type="dxa" w:w="7056"/>
            <w:shd w:fill="3B423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HOW BO TURNS IT INTO PRODUCT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Responsibility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RACI-style ownership and approvals become role and policy primitives.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Flow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Inputs, outputs, handoffs, exceptions, and stage gates become process definitions.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Data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Master data dictionaries become generated schemas with governed field definitions.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Performance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KPI catalogs connect measures to source capabilities, owners, and decisions.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Automation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Reusable automation patterns are selected only when company evidence supports them.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140" w:line="252" w:lineRule="auto"/>
      </w:pPr>
      <w:r>
        <w:rPr>
          <w:rFonts w:ascii="Arial" w:hAnsi="Arial" w:eastAsia="Arial"/>
          <w:b/>
          <w:i w:val="0"/>
          <w:color w:val="3B423F"/>
          <w:sz w:val="16"/>
        </w:rPr>
        <w:t>03 / INVESTMENT CASE</w:t>
      </w:r>
    </w:p>
    <w:p>
      <w:pPr>
        <w:keepNext/>
        <w:spacing w:before="0" w:after="160" w:line="226" w:lineRule="auto"/>
      </w:pPr>
      <w:r>
        <w:rPr>
          <w:rFonts w:ascii="Arial" w:hAnsi="Arial" w:eastAsia="Arial"/>
          <w:b/>
          <w:i w:val="0"/>
          <w:color w:val="171A17"/>
          <w:sz w:val="50"/>
        </w:rPr>
        <w:t>A product that compounds by industry</w:t>
      </w:r>
    </w:p>
    <w:p>
      <w:pPr>
        <w:keepNext w:val="0"/>
        <w:spacing w:before="0" w:after="260" w:line="259" w:lineRule="auto"/>
      </w:pPr>
      <w:r>
        <w:rPr>
          <w:rFonts w:ascii="Arial" w:hAnsi="Arial" w:eastAsia="Arial"/>
          <w:b w:val="0"/>
          <w:i w:val="0"/>
          <w:color w:val="666E67"/>
          <w:sz w:val="21"/>
        </w:rPr>
        <w:t>The catalog can be copied. The accumulated record of what real companies kept, removed, and added cannot.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8"/>
        <w:gridCol w:w="2548"/>
        <w:gridCol w:w="2548"/>
        <w:gridCol w:w="2548"/>
      </w:tblGrid>
      <w:tr>
        <w:tc>
          <w:tcPr>
            <w:tcW w:type="dxa" w:w="2548"/>
            <w:vAlign w:val="center"/>
            <w:shd w:fill="F4F5F2"/>
            <w:tcMar>
              <w:top w:w="170" w:type="dxa"/>
              <w:start w:w="160" w:type="dxa"/>
              <w:bottom w:w="160" w:type="dxa"/>
              <w:end w:w="160" w:type="dxa"/>
            </w:tcMar>
          </w:tcPr>
          <w:p>
            <w:pPr>
              <w:keepNext w:val="0"/>
              <w:spacing w:before="0" w:after="6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A17"/>
                <w:sz w:val="38"/>
              </w:rPr>
              <w:t>1,923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66E67"/>
                <w:sz w:val="16"/>
              </w:rPr>
              <w:t>industry titles</w:t>
            </w:r>
          </w:p>
        </w:tc>
        <w:tc>
          <w:tcPr>
            <w:tcW w:type="dxa" w:w="2548"/>
            <w:vAlign w:val="center"/>
            <w:shd w:fill="F4F5F2"/>
            <w:tcMar>
              <w:top w:w="170" w:type="dxa"/>
              <w:start w:w="160" w:type="dxa"/>
              <w:bottom w:w="160" w:type="dxa"/>
              <w:end w:w="160" w:type="dxa"/>
            </w:tcMar>
            <w:tcBorders>
              <w:start w:val="single" w:sz="5" w:color="DCDED9"/>
            </w:tcBorders>
          </w:tcPr>
          <w:p>
            <w:pPr>
              <w:keepNext w:val="0"/>
              <w:spacing w:before="0" w:after="6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A17"/>
                <w:sz w:val="38"/>
              </w:rPr>
              <w:t>120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66E67"/>
                <w:sz w:val="16"/>
              </w:rPr>
              <w:t>buildable capabilities</w:t>
            </w:r>
          </w:p>
        </w:tc>
        <w:tc>
          <w:tcPr>
            <w:tcW w:type="dxa" w:w="2548"/>
            <w:vAlign w:val="center"/>
            <w:shd w:fill="F4F5F2"/>
            <w:tcMar>
              <w:top w:w="170" w:type="dxa"/>
              <w:start w:w="160" w:type="dxa"/>
              <w:bottom w:w="160" w:type="dxa"/>
              <w:end w:w="160" w:type="dxa"/>
            </w:tcMar>
            <w:tcBorders>
              <w:start w:val="single" w:sz="5" w:color="DCDED9"/>
            </w:tcBorders>
          </w:tcPr>
          <w:p>
            <w:pPr>
              <w:keepNext w:val="0"/>
              <w:spacing w:before="0" w:after="6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A17"/>
                <w:sz w:val="38"/>
              </w:rPr>
              <w:t>25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66E67"/>
                <w:sz w:val="16"/>
              </w:rPr>
              <w:t>operating archetypes</w:t>
            </w:r>
          </w:p>
        </w:tc>
        <w:tc>
          <w:tcPr>
            <w:tcW w:type="dxa" w:w="2548"/>
            <w:vAlign w:val="center"/>
            <w:shd w:fill="F4F5F2"/>
            <w:tcMar>
              <w:top w:w="170" w:type="dxa"/>
              <w:start w:w="160" w:type="dxa"/>
              <w:bottom w:w="160" w:type="dxa"/>
              <w:end w:w="160" w:type="dxa"/>
            </w:tcMar>
            <w:tcBorders>
              <w:start w:val="single" w:sz="5" w:color="DCDED9"/>
            </w:tcBorders>
          </w:tcPr>
          <w:p>
            <w:pPr>
              <w:keepNext w:val="0"/>
              <w:spacing w:before="0" w:after="6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A17"/>
                <w:sz w:val="38"/>
              </w:rPr>
              <w:t>5+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66E67"/>
                <w:sz w:val="16"/>
              </w:rPr>
              <w:t>companies before evidence applies</w:t>
            </w:r>
          </w:p>
        </w:tc>
      </w:tr>
    </w:tbl>
    <w:p>
      <w:pPr>
        <w:spacing w:after="20"/>
      </w:pPr>
    </w:p>
    <w:p>
      <w:pPr>
        <w:keepNext/>
        <w:spacing w:before="0" w:after="140" w:line="259" w:lineRule="auto"/>
      </w:pPr>
      <w:r>
        <w:rPr>
          <w:rFonts w:ascii="Arial" w:hAnsi="Arial" w:eastAsia="Arial"/>
          <w:b/>
          <w:i w:val="0"/>
          <w:color w:val="171A17"/>
          <w:sz w:val="24"/>
        </w:rPr>
        <w:t>The learning loop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BUILD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BO proposes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Rules, public research, and the operator's statements produce the first Command Center.</w:t>
            </w:r>
          </w:p>
        </w:tc>
        <w:tc>
          <w:tcPr>
            <w:tcW w:type="dxa" w:w="5040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OPERATE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The company corrects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Kept, removed, and newly added capabilities become clean operational labels.</w:t>
            </w:r>
          </w:p>
        </w:tc>
      </w:tr>
      <w:tr>
        <w:tc>
          <w:tcPr>
            <w:tcW w:type="dxa" w:w="5040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AGGREGATE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Only counts survive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No company name, workspace identifier, record, prompt, or field content enters shared evidence.</w:t>
            </w:r>
          </w:p>
        </w:tc>
        <w:tc>
          <w:tcPr>
            <w:tcW w:type="dxa" w:w="5040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IMPROVE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The next build starts better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Observed behavior outranks industry research; explicit company statements still outrank both.</w:t>
            </w:r>
          </w:p>
        </w:tc>
      </w:tr>
    </w:tbl>
    <w:p>
      <w:pPr>
        <w:spacing w:after="20"/>
      </w:pPr>
    </w:p>
    <w:p>
      <w:pPr>
        <w:keepNext/>
        <w:spacing w:before="80" w:after="100" w:line="259" w:lineRule="auto"/>
      </w:pPr>
      <w:r>
        <w:rPr>
          <w:rFonts w:ascii="Arial" w:hAnsi="Arial" w:eastAsia="Arial"/>
          <w:b/>
          <w:i w:val="0"/>
          <w:color w:val="171A17"/>
          <w:sz w:val="24"/>
        </w:rPr>
        <w:t>Guardrails make the loop credible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9"/>
        <w:gridCol w:w="7056"/>
      </w:tblGrid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Minimum sample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At least five companies contribute before a pattern can influence another company.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Strong threshold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A 60% decision threshold avoids treating a narrow majority as an industry truth.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One company, one vote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Repeated user activity cannot outweigh other companies.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Explicit beats inferred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What this operator states always overrides research or observed patterns.</w:t>
            </w:r>
          </w:p>
        </w:tc>
      </w:tr>
    </w:tbl>
    <w:p>
      <w:pPr>
        <w:spacing w:after="20"/>
      </w:pPr>
    </w:p>
    <w:p>
      <w:pPr>
        <w:keepNext w:val="0"/>
        <w:spacing w:before="140" w:after="0" w:line="259" w:lineRule="auto"/>
      </w:pPr>
      <w:r>
        <w:rPr>
          <w:rFonts w:ascii="Arial" w:hAnsi="Arial" w:eastAsia="Arial"/>
          <w:b w:val="0"/>
          <w:i/>
          <w:color w:val="666E67"/>
          <w:sz w:val="16"/>
        </w:rPr>
        <w:t>Cold-start reality: the mechanism is implemented, but observed evidence must be earned through adoption. Until then, BO relies on authored rules and cited industry research.</w:t>
      </w:r>
    </w:p>
    <w:p>
      <w:r>
        <w:br w:type="page"/>
      </w:r>
    </w:p>
    <w:p>
      <w:pPr>
        <w:keepNext/>
        <w:spacing w:before="0" w:after="140" w:line="252" w:lineRule="auto"/>
      </w:pPr>
      <w:r>
        <w:rPr>
          <w:rFonts w:ascii="Arial" w:hAnsi="Arial" w:eastAsia="Arial"/>
          <w:b/>
          <w:i w:val="0"/>
          <w:color w:val="3B423F"/>
          <w:sz w:val="16"/>
        </w:rPr>
        <w:t>04 / INVESTMENT CASE</w:t>
      </w:r>
    </w:p>
    <w:p>
      <w:pPr>
        <w:keepNext/>
        <w:spacing w:before="0" w:after="160" w:line="226" w:lineRule="auto"/>
      </w:pPr>
      <w:r>
        <w:rPr>
          <w:rFonts w:ascii="Arial" w:hAnsi="Arial" w:eastAsia="Arial"/>
          <w:b/>
          <w:i w:val="0"/>
          <w:color w:val="171A17"/>
          <w:sz w:val="50"/>
        </w:rPr>
        <w:t>Value is created at setup and during operation</w:t>
      </w:r>
    </w:p>
    <w:p>
      <w:pPr>
        <w:keepNext w:val="0"/>
        <w:spacing w:before="0" w:after="260" w:line="259" w:lineRule="auto"/>
      </w:pPr>
      <w:r>
        <w:rPr>
          <w:rFonts w:ascii="Arial" w:hAnsi="Arial" w:eastAsia="Arial"/>
          <w:b w:val="0"/>
          <w:i w:val="0"/>
          <w:color w:val="666E67"/>
          <w:sz w:val="21"/>
        </w:rPr>
        <w:t>BO reduces the cost of getting the right system and the cost of keeping it aligned as the company changes.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OWNER / FOUNDER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A company view, not an app view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Customers, delivery, cash, responsibilities, and exceptions are visible through one operating model.</w:t>
            </w:r>
          </w:p>
        </w:tc>
        <w:tc>
          <w:tcPr>
            <w:tcW w:type="dxa" w:w="3321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OPERATIONS LEAD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Work has owners and states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Processes expose handoffs, deadlines, approvals, and gaps instead of hiding them in chat and spreadsheets.</w:t>
            </w:r>
          </w:p>
        </w:tc>
        <w:tc>
          <w:tcPr>
            <w:tcW w:type="dxa" w:w="3321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TEAM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Less software interpretation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Navigation and terminology follow the configured company rather than a vendor's universal object model.</w:t>
            </w:r>
          </w:p>
        </w:tc>
      </w:tr>
    </w:tbl>
    <w:p>
      <w:pPr>
        <w:spacing w:after="20"/>
      </w:pPr>
    </w:p>
    <w:p>
      <w:pPr>
        <w:keepNext/>
        <w:spacing w:before="100" w:after="140" w:line="259" w:lineRule="auto"/>
      </w:pPr>
      <w:r>
        <w:rPr>
          <w:rFonts w:ascii="Arial" w:hAnsi="Arial" w:eastAsia="Arial"/>
          <w:b/>
          <w:i w:val="0"/>
          <w:color w:val="171A17"/>
          <w:sz w:val="24"/>
        </w:rPr>
        <w:t>Economic mechanisms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9"/>
        <w:gridCol w:w="7056"/>
      </w:tblGrid>
      <w:tr>
        <w:tc>
          <w:tcPr>
            <w:tcW w:type="dxa" w:w="3139"/>
            <w:shd w:fill="3B423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VALUE LEVER</w:t>
            </w:r>
          </w:p>
        </w:tc>
        <w:tc>
          <w:tcPr>
            <w:tcW w:type="dxa" w:w="7056"/>
            <w:shd w:fill="3B423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WHY IT MATTERS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Lower implementation burden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Discovery and compilation replace much of the blank-page configuration work.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Fewer duplicate systems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A capability can be built in BO or connected to the system that already owns it.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Faster operational changes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Natural-language requests become typed, reviewable change proposals with impact and rollback.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Improved control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KPI definitions, responsibilities, data sources, and approval policies remain connected.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AI readiness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Structured processes and trustworthy data create the foundation for governed agents and decision support.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95"/>
      </w:tblGrid>
      <w:tr>
        <w:tc>
          <w:tcPr>
            <w:tcW w:type="dxa" w:w="10195"/>
            <w:shd w:fill="F4F5F2"/>
            <w:tcMar>
              <w:top w:w="190" w:type="dxa"/>
              <w:start w:w="220" w:type="dxa"/>
              <w:bottom w:w="180" w:type="dxa"/>
              <w:end w:w="220" w:type="dxa"/>
            </w:tcMar>
            <w:tcBorders>
              <w:top w:val="single" w:sz="10" w:color="3B423F"/>
            </w:tcBorders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5"/>
              </w:rPr>
              <w:t>CORE PROMISE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8"/>
              </w:rPr>
              <w:t>Business managing in one place.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9"/>
              </w:rPr>
              <w:t>BO is not trying to recreate every specialist system. It is the operating layer that decides what belongs in the company, builds what is missing, and connects what should remain elsewhere.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140" w:line="252" w:lineRule="auto"/>
      </w:pPr>
      <w:r>
        <w:rPr>
          <w:rFonts w:ascii="Arial" w:hAnsi="Arial" w:eastAsia="Arial"/>
          <w:b/>
          <w:i w:val="0"/>
          <w:color w:val="3B423F"/>
          <w:sz w:val="16"/>
        </w:rPr>
        <w:t>05 / INVESTMENT CASE</w:t>
      </w:r>
    </w:p>
    <w:p>
      <w:pPr>
        <w:keepNext/>
        <w:spacing w:before="0" w:after="160" w:line="226" w:lineRule="auto"/>
      </w:pPr>
      <w:r>
        <w:rPr>
          <w:rFonts w:ascii="Arial" w:hAnsi="Arial" w:eastAsia="Arial"/>
          <w:b/>
          <w:i w:val="0"/>
          <w:color w:val="171A17"/>
          <w:sz w:val="50"/>
        </w:rPr>
        <w:t>A low-friction entry with expansion tied to value</w:t>
      </w:r>
    </w:p>
    <w:p>
      <w:pPr>
        <w:keepNext w:val="0"/>
        <w:spacing w:before="0" w:after="260" w:line="259" w:lineRule="auto"/>
      </w:pPr>
      <w:r>
        <w:rPr>
          <w:rFonts w:ascii="Arial" w:hAnsi="Arial" w:eastAsia="Arial"/>
          <w:b w:val="0"/>
          <w:i w:val="0"/>
          <w:color w:val="666E67"/>
          <w:sz w:val="21"/>
        </w:rPr>
        <w:t>The personalized first build is free. Paid plans monetize scale, change, connections, and collaboration.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1"/>
        <w:gridCol w:w="2160"/>
        <w:gridCol w:w="2476"/>
        <w:gridCol w:w="2606"/>
      </w:tblGrid>
      <w:tr>
        <w:tc>
          <w:tcPr>
            <w:tcW w:type="dxa" w:w="2951"/>
            <w:shd w:fill="171A17"/>
            <w:tcMar>
              <w:top w:w="130" w:type="dxa"/>
              <w:start w:w="130" w:type="dxa"/>
              <w:bottom w:w="125" w:type="dxa"/>
              <w:end w:w="13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PLAN</w:t>
            </w:r>
          </w:p>
        </w:tc>
        <w:tc>
          <w:tcPr>
            <w:tcW w:type="dxa" w:w="2160"/>
            <w:shd w:fill="3B423F"/>
            <w:tcMar>
              <w:top w:w="130" w:type="dxa"/>
              <w:start w:w="130" w:type="dxa"/>
              <w:bottom w:w="125" w:type="dxa"/>
              <w:end w:w="13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FREE</w:t>
            </w:r>
          </w:p>
        </w:tc>
        <w:tc>
          <w:tcPr>
            <w:tcW w:type="dxa" w:w="2476"/>
            <w:shd w:fill="3B423F"/>
            <w:tcMar>
              <w:top w:w="130" w:type="dxa"/>
              <w:start w:w="130" w:type="dxa"/>
              <w:bottom w:w="125" w:type="dxa"/>
              <w:end w:w="13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PRO</w:t>
            </w:r>
          </w:p>
        </w:tc>
        <w:tc>
          <w:tcPr>
            <w:tcW w:type="dxa" w:w="2606"/>
            <w:shd w:fill="3B423F"/>
            <w:tcMar>
              <w:top w:w="130" w:type="dxa"/>
              <w:start w:w="130" w:type="dxa"/>
              <w:bottom w:w="125" w:type="dxa"/>
              <w:end w:w="13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BUSINESS</w:t>
            </w:r>
          </w:p>
        </w:tc>
      </w:tr>
      <w:tr>
        <w:tc>
          <w:tcPr>
            <w:tcW w:type="dxa" w:w="2951"/>
            <w:shd w:fill="F4F5F2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A17"/>
                <w:sz w:val="17"/>
              </w:rPr>
              <w:t>Price / month</w:t>
            </w:r>
          </w:p>
        </w:tc>
        <w:tc>
          <w:tcPr>
            <w:tcW w:type="dxa" w:w="2160"/>
            <w:shd w:fill="F4F5F2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$0</w:t>
            </w:r>
          </w:p>
        </w:tc>
        <w:tc>
          <w:tcPr>
            <w:tcW w:type="dxa" w:w="2476"/>
            <w:shd w:fill="F4F5F2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$10</w:t>
            </w:r>
          </w:p>
        </w:tc>
        <w:tc>
          <w:tcPr>
            <w:tcW w:type="dxa" w:w="2606"/>
            <w:shd w:fill="F4F5F2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$50</w:t>
            </w:r>
          </w:p>
        </w:tc>
      </w:tr>
      <w:tr>
        <w:tc>
          <w:tcPr>
            <w:tcW w:type="dxa" w:w="2951"/>
            <w:shd w:fill="FFFFFF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A17"/>
                <w:sz w:val="17"/>
              </w:rPr>
              <w:t>Workspaces</w:t>
            </w:r>
          </w:p>
        </w:tc>
        <w:tc>
          <w:tcPr>
            <w:tcW w:type="dxa" w:w="2160"/>
            <w:shd w:fill="FFFFFF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1</w:t>
            </w:r>
          </w:p>
        </w:tc>
        <w:tc>
          <w:tcPr>
            <w:tcW w:type="dxa" w:w="2476"/>
            <w:shd w:fill="FFFFFF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1</w:t>
            </w:r>
          </w:p>
        </w:tc>
        <w:tc>
          <w:tcPr>
            <w:tcW w:type="dxa" w:w="2606"/>
            <w:shd w:fill="FFFFFF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5</w:t>
            </w:r>
          </w:p>
        </w:tc>
      </w:tr>
      <w:tr>
        <w:tc>
          <w:tcPr>
            <w:tcW w:type="dxa" w:w="2951"/>
            <w:shd w:fill="F4F5F2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A17"/>
                <w:sz w:val="17"/>
              </w:rPr>
              <w:t>Records</w:t>
            </w:r>
          </w:p>
        </w:tc>
        <w:tc>
          <w:tcPr>
            <w:tcW w:type="dxa" w:w="2160"/>
            <w:shd w:fill="F4F5F2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200</w:t>
            </w:r>
          </w:p>
        </w:tc>
        <w:tc>
          <w:tcPr>
            <w:tcW w:type="dxa" w:w="2476"/>
            <w:shd w:fill="F4F5F2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Unlimited</w:t>
            </w:r>
          </w:p>
        </w:tc>
        <w:tc>
          <w:tcPr>
            <w:tcW w:type="dxa" w:w="2606"/>
            <w:shd w:fill="F4F5F2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Unlimited</w:t>
            </w:r>
          </w:p>
        </w:tc>
      </w:tr>
      <w:tr>
        <w:tc>
          <w:tcPr>
            <w:tcW w:type="dxa" w:w="2951"/>
            <w:shd w:fill="FFFFFF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A17"/>
                <w:sz w:val="17"/>
              </w:rPr>
              <w:t>Rebuilds / month</w:t>
            </w:r>
          </w:p>
        </w:tc>
        <w:tc>
          <w:tcPr>
            <w:tcW w:type="dxa" w:w="2160"/>
            <w:shd w:fill="FFFFFF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0</w:t>
            </w:r>
          </w:p>
        </w:tc>
        <w:tc>
          <w:tcPr>
            <w:tcW w:type="dxa" w:w="2476"/>
            <w:shd w:fill="FFFFFF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5</w:t>
            </w:r>
          </w:p>
        </w:tc>
        <w:tc>
          <w:tcPr>
            <w:tcW w:type="dxa" w:w="2606"/>
            <w:shd w:fill="FFFFFF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20</w:t>
            </w:r>
          </w:p>
        </w:tc>
      </w:tr>
      <w:tr>
        <w:tc>
          <w:tcPr>
            <w:tcW w:type="dxa" w:w="2951"/>
            <w:shd w:fill="F4F5F2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A17"/>
                <w:sz w:val="17"/>
              </w:rPr>
              <w:t>Connected apps</w:t>
            </w:r>
          </w:p>
        </w:tc>
        <w:tc>
          <w:tcPr>
            <w:tcW w:type="dxa" w:w="2160"/>
            <w:shd w:fill="F4F5F2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-</w:t>
            </w:r>
          </w:p>
        </w:tc>
        <w:tc>
          <w:tcPr>
            <w:tcW w:type="dxa" w:w="2476"/>
            <w:shd w:fill="F4F5F2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Included</w:t>
            </w:r>
          </w:p>
        </w:tc>
        <w:tc>
          <w:tcPr>
            <w:tcW w:type="dxa" w:w="2606"/>
            <w:shd w:fill="F4F5F2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Included</w:t>
            </w:r>
          </w:p>
        </w:tc>
      </w:tr>
      <w:tr>
        <w:tc>
          <w:tcPr>
            <w:tcW w:type="dxa" w:w="2951"/>
            <w:shd w:fill="FFFFFF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71A17"/>
                <w:sz w:val="17"/>
              </w:rPr>
              <w:t>Team access</w:t>
            </w:r>
          </w:p>
        </w:tc>
        <w:tc>
          <w:tcPr>
            <w:tcW w:type="dxa" w:w="2160"/>
            <w:shd w:fill="FFFFFF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-</w:t>
            </w:r>
          </w:p>
        </w:tc>
        <w:tc>
          <w:tcPr>
            <w:tcW w:type="dxa" w:w="2476"/>
            <w:shd w:fill="FFFFFF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-</w:t>
            </w:r>
          </w:p>
        </w:tc>
        <w:tc>
          <w:tcPr>
            <w:tcW w:type="dxa" w:w="2606"/>
            <w:shd w:fill="FFFFFF"/>
            <w:tcMar>
              <w:top w:w="115" w:type="dxa"/>
              <w:start w:w="130" w:type="dxa"/>
              <w:bottom w:w="110" w:type="dxa"/>
              <w:end w:w="13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Included</w:t>
            </w:r>
          </w:p>
        </w:tc>
      </w:tr>
    </w:tbl>
    <w:p>
      <w:pPr>
        <w:spacing w:after="20"/>
      </w:pPr>
    </w:p>
    <w:p>
      <w:pPr>
        <w:keepNext/>
        <w:spacing w:before="140" w:after="120" w:line="259" w:lineRule="auto"/>
      </w:pPr>
      <w:r>
        <w:rPr>
          <w:rFonts w:ascii="Arial" w:hAnsi="Arial" w:eastAsia="Arial"/>
          <w:b/>
          <w:i w:val="0"/>
          <w:color w:val="171A17"/>
          <w:sz w:val="24"/>
        </w:rPr>
        <w:t>Why the economics can improve with scale</w:t>
      </w:r>
    </w:p>
    <w:p>
      <w:pPr>
        <w:pStyle w:val="ListBullet"/>
        <w:keepNext w:val="0"/>
        <w:spacing w:before="0" w:after="140" w:line="254" w:lineRule="auto"/>
        <w:ind w:left="317" w:hanging="230"/>
      </w:pPr>
      <w:r>
        <w:rPr>
          <w:rFonts w:ascii="Arial" w:hAnsi="Arial" w:eastAsia="Arial"/>
          <w:b/>
          <w:i w:val="0"/>
          <w:color w:val="171A17"/>
          <w:sz w:val="18"/>
        </w:rPr>
        <w:t xml:space="preserve">First build as acquisition. </w:t>
      </w:r>
      <w:r>
        <w:rPr>
          <w:rFonts w:ascii="Arial" w:hAnsi="Arial" w:eastAsia="Arial"/>
          <w:b w:val="0"/>
          <w:i w:val="0"/>
          <w:color w:val="3B423F"/>
          <w:sz w:val="18"/>
        </w:rPr>
        <w:t>A buyer sees a system shaped around their own company before paying.</w:t>
      </w:r>
    </w:p>
    <w:p>
      <w:pPr>
        <w:pStyle w:val="ListBullet"/>
        <w:keepNext w:val="0"/>
        <w:spacing w:before="0" w:after="140" w:line="254" w:lineRule="auto"/>
        <w:ind w:left="317" w:hanging="230"/>
      </w:pPr>
      <w:r>
        <w:rPr>
          <w:rFonts w:ascii="Arial" w:hAnsi="Arial" w:eastAsia="Arial"/>
          <w:b/>
          <w:i w:val="0"/>
          <w:color w:val="171A17"/>
          <w:sz w:val="18"/>
        </w:rPr>
        <w:t xml:space="preserve">Usage is structurally light. </w:t>
      </w:r>
      <w:r>
        <w:rPr>
          <w:rFonts w:ascii="Arial" w:hAnsi="Arial" w:eastAsia="Arial"/>
          <w:b w:val="0"/>
          <w:i w:val="0"/>
          <w:color w:val="3B423F"/>
          <w:sz w:val="18"/>
        </w:rPr>
        <w:t>Once built, the Command Center is primarily persistent structured data and application runtime.</w:t>
      </w:r>
    </w:p>
    <w:p>
      <w:pPr>
        <w:pStyle w:val="ListBullet"/>
        <w:keepNext w:val="0"/>
        <w:spacing w:before="0" w:after="140" w:line="254" w:lineRule="auto"/>
        <w:ind w:left="317" w:hanging="230"/>
      </w:pPr>
      <w:r>
        <w:rPr>
          <w:rFonts w:ascii="Arial" w:hAnsi="Arial" w:eastAsia="Arial"/>
          <w:b/>
          <w:i w:val="0"/>
          <w:color w:val="171A17"/>
          <w:sz w:val="18"/>
        </w:rPr>
        <w:t xml:space="preserve">Research amortizes by industry. </w:t>
      </w:r>
      <w:r>
        <w:rPr>
          <w:rFonts w:ascii="Arial" w:hAnsi="Arial" w:eastAsia="Arial"/>
          <w:b w:val="0"/>
          <w:i w:val="0"/>
          <w:color w:val="3B423F"/>
          <w:sz w:val="18"/>
        </w:rPr>
        <w:t>Industry-level research can be reused by every later company in that segment.</w:t>
      </w:r>
    </w:p>
    <w:p>
      <w:pPr>
        <w:pStyle w:val="ListBullet"/>
        <w:keepNext w:val="0"/>
        <w:spacing w:before="0" w:after="140" w:line="254" w:lineRule="auto"/>
        <w:ind w:left="317" w:hanging="230"/>
      </w:pPr>
      <w:r>
        <w:rPr>
          <w:rFonts w:ascii="Arial" w:hAnsi="Arial" w:eastAsia="Arial"/>
          <w:b/>
          <w:i w:val="0"/>
          <w:color w:val="171A17"/>
          <w:sz w:val="18"/>
        </w:rPr>
        <w:t xml:space="preserve">Vertical concentration improves both product and margin. </w:t>
      </w:r>
      <w:r>
        <w:rPr>
          <w:rFonts w:ascii="Arial" w:hAnsi="Arial" w:eastAsia="Arial"/>
          <w:b w:val="0"/>
          <w:i w:val="0"/>
          <w:color w:val="3B423F"/>
          <w:sz w:val="18"/>
        </w:rPr>
        <w:t>More customers in one industry create stronger evidence and spread fixed knowledge costs.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95"/>
      </w:tblGrid>
      <w:tr>
        <w:tc>
          <w:tcPr>
            <w:tcW w:type="dxa" w:w="10195"/>
            <w:shd w:fill="E9ECE7"/>
            <w:tcMar>
              <w:top w:w="190" w:type="dxa"/>
              <w:start w:w="220" w:type="dxa"/>
              <w:bottom w:w="180" w:type="dxa"/>
              <w:end w:w="220" w:type="dxa"/>
            </w:tcMar>
            <w:tcBorders>
              <w:top w:val="single" w:sz="10" w:color="3B423F"/>
            </w:tcBorders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5"/>
              </w:rPr>
              <w:t>COMMERCIAL DISCIPLINE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8"/>
              </w:rPr>
              <w:t>No deletion as a collection tactic.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9"/>
              </w:rPr>
              <w:t>A lapsed plan falls back to Free limits while existing data stays readable and exportable. The product sells ongoing capacity and capability, not fear of losing company records.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140" w:line="252" w:lineRule="auto"/>
      </w:pPr>
      <w:r>
        <w:rPr>
          <w:rFonts w:ascii="Arial" w:hAnsi="Arial" w:eastAsia="Arial"/>
          <w:b/>
          <w:i w:val="0"/>
          <w:color w:val="3B423F"/>
          <w:sz w:val="16"/>
        </w:rPr>
        <w:t>06 / INVESTMENT CASE</w:t>
      </w:r>
    </w:p>
    <w:p>
      <w:pPr>
        <w:keepNext/>
        <w:spacing w:before="0" w:after="160" w:line="226" w:lineRule="auto"/>
      </w:pPr>
      <w:r>
        <w:rPr>
          <w:rFonts w:ascii="Arial" w:hAnsi="Arial" w:eastAsia="Arial"/>
          <w:b/>
          <w:i w:val="0"/>
          <w:color w:val="171A17"/>
          <w:sz w:val="50"/>
        </w:rPr>
        <w:t>Win vertically, expand horizontally</w:t>
      </w:r>
    </w:p>
    <w:p>
      <w:pPr>
        <w:keepNext w:val="0"/>
        <w:spacing w:before="0" w:after="260" w:line="259" w:lineRule="auto"/>
      </w:pPr>
      <w:r>
        <w:rPr>
          <w:rFonts w:ascii="Arial" w:hAnsi="Arial" w:eastAsia="Arial"/>
          <w:b w:val="0"/>
          <w:i w:val="0"/>
          <w:color w:val="666E67"/>
          <w:sz w:val="21"/>
        </w:rPr>
        <w:t>BO can address many industries, but early distribution should deliberately concentrate evidence and references.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LAND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Personalized free build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The product creates its own demo from the company's description.</w:t>
            </w:r>
          </w:p>
        </w:tc>
        <w:tc>
          <w:tcPr>
            <w:tcW w:type="dxa" w:w="5040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FOCUS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A few operating verticals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Concentration accelerates accuracy, references, and repeatable onboarding.</w:t>
            </w:r>
          </w:p>
        </w:tc>
      </w:tr>
      <w:tr>
        <w:tc>
          <w:tcPr>
            <w:tcW w:type="dxa" w:w="5040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EXPAND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Connections and team use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Paid value grows as BO becomes the shared view across existing systems.</w:t>
            </w:r>
          </w:p>
        </w:tc>
        <w:tc>
          <w:tcPr>
            <w:tcW w:type="dxa" w:w="5040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MOVE UP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Trust and governance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Roles, auditability, data controls, and reliable runtime support larger deployments.</w:t>
            </w:r>
          </w:p>
        </w:tc>
      </w:tr>
    </w:tbl>
    <w:p>
      <w:pPr>
        <w:spacing w:after="20"/>
      </w:pPr>
    </w:p>
    <w:p>
      <w:pPr>
        <w:keepNext/>
        <w:spacing w:before="100" w:after="120" w:line="259" w:lineRule="auto"/>
      </w:pPr>
      <w:r>
        <w:rPr>
          <w:rFonts w:ascii="Arial" w:hAnsi="Arial" w:eastAsia="Arial"/>
          <w:b/>
          <w:i w:val="0"/>
          <w:color w:val="171A17"/>
          <w:sz w:val="24"/>
        </w:rPr>
        <w:t>The next commercial proof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9"/>
        <w:gridCol w:w="7056"/>
      </w:tblGrid>
      <w:tr>
        <w:tc>
          <w:tcPr>
            <w:tcW w:type="dxa" w:w="3139"/>
            <w:shd w:fill="3B423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VALIDATION GATE</w:t>
            </w:r>
          </w:p>
        </w:tc>
        <w:tc>
          <w:tcPr>
            <w:tcW w:type="dxa" w:w="7056"/>
            <w:shd w:fill="3B423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EVIDENCE TO COLLECT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Design partners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Recruit five companies from one narrowly defined operating segment.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Recognition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More than 80% of the central process is recognized as correct by operators.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Correction rate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Fewer than 15% of important claims require correction.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Time to value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A useful reviewed operating model is reached in under 20 minutes.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Operational outcome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Each company identifies at least one concrete decision or control improved by BO.</w:t>
            </w:r>
          </w:p>
        </w:tc>
      </w:tr>
    </w:tbl>
    <w:p>
      <w:pPr>
        <w:spacing w:after="20"/>
      </w:pPr>
    </w:p>
    <w:p>
      <w:pPr>
        <w:keepNext/>
        <w:spacing w:before="140" w:after="100" w:line="259" w:lineRule="auto"/>
      </w:pPr>
      <w:r>
        <w:rPr>
          <w:rFonts w:ascii="Arial" w:hAnsi="Arial" w:eastAsia="Arial"/>
          <w:b/>
          <w:i w:val="0"/>
          <w:color w:val="171A17"/>
          <w:sz w:val="24"/>
        </w:rPr>
        <w:t>Metrics that reveal compounding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8"/>
        <w:gridCol w:w="2548"/>
        <w:gridCol w:w="2548"/>
        <w:gridCol w:w="2548"/>
      </w:tblGrid>
      <w:tr>
        <w:tc>
          <w:tcPr>
            <w:tcW w:type="dxa" w:w="2548"/>
            <w:vAlign w:val="center"/>
            <w:shd w:fill="F4F5F2"/>
            <w:tcMar>
              <w:top w:w="170" w:type="dxa"/>
              <w:start w:w="160" w:type="dxa"/>
              <w:bottom w:w="160" w:type="dxa"/>
              <w:end w:w="160" w:type="dxa"/>
            </w:tcMar>
          </w:tcPr>
          <w:p>
            <w:pPr>
              <w:keepNext w:val="0"/>
              <w:spacing w:before="0" w:after="6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A17"/>
                <w:sz w:val="38"/>
              </w:rPr>
              <w:t>↓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66E67"/>
                <w:sz w:val="16"/>
              </w:rPr>
              <w:t>corrections per build</w:t>
            </w:r>
          </w:p>
        </w:tc>
        <w:tc>
          <w:tcPr>
            <w:tcW w:type="dxa" w:w="2548"/>
            <w:vAlign w:val="center"/>
            <w:shd w:fill="F4F5F2"/>
            <w:tcMar>
              <w:top w:w="170" w:type="dxa"/>
              <w:start w:w="160" w:type="dxa"/>
              <w:bottom w:w="160" w:type="dxa"/>
              <w:end w:w="160" w:type="dxa"/>
            </w:tcMar>
            <w:tcBorders>
              <w:start w:val="single" w:sz="5" w:color="DCDED9"/>
            </w:tcBorders>
          </w:tcPr>
          <w:p>
            <w:pPr>
              <w:keepNext w:val="0"/>
              <w:spacing w:before="0" w:after="6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A17"/>
                <w:sz w:val="38"/>
              </w:rPr>
              <w:t>↑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66E67"/>
                <w:sz w:val="16"/>
              </w:rPr>
              <w:t>build-to-first-record</w:t>
            </w:r>
          </w:p>
        </w:tc>
        <w:tc>
          <w:tcPr>
            <w:tcW w:type="dxa" w:w="2548"/>
            <w:vAlign w:val="center"/>
            <w:shd w:fill="F4F5F2"/>
            <w:tcMar>
              <w:top w:w="170" w:type="dxa"/>
              <w:start w:w="160" w:type="dxa"/>
              <w:bottom w:w="160" w:type="dxa"/>
              <w:end w:w="160" w:type="dxa"/>
            </w:tcMar>
            <w:tcBorders>
              <w:start w:val="single" w:sz="5" w:color="DCDED9"/>
            </w:tcBorders>
          </w:tcPr>
          <w:p>
            <w:pPr>
              <w:keepNext w:val="0"/>
              <w:spacing w:before="0" w:after="6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A17"/>
                <w:sz w:val="38"/>
              </w:rPr>
              <w:t>↑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66E67"/>
                <w:sz w:val="16"/>
              </w:rPr>
              <w:t>connected apps / workspace</w:t>
            </w:r>
          </w:p>
        </w:tc>
        <w:tc>
          <w:tcPr>
            <w:tcW w:type="dxa" w:w="2548"/>
            <w:vAlign w:val="center"/>
            <w:shd w:fill="F4F5F2"/>
            <w:tcMar>
              <w:top w:w="170" w:type="dxa"/>
              <w:start w:w="160" w:type="dxa"/>
              <w:bottom w:w="160" w:type="dxa"/>
              <w:end w:w="160" w:type="dxa"/>
            </w:tcMar>
            <w:tcBorders>
              <w:start w:val="single" w:sz="5" w:color="DCDED9"/>
            </w:tcBorders>
          </w:tcPr>
          <w:p>
            <w:pPr>
              <w:keepNext w:val="0"/>
              <w:spacing w:before="0" w:after="60" w:line="252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1A17"/>
                <w:sz w:val="38"/>
              </w:rPr>
              <w:t>↑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666E67"/>
                <w:sz w:val="16"/>
              </w:rPr>
              <w:t>free-to-paid by vertical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140" w:line="252" w:lineRule="auto"/>
      </w:pPr>
      <w:r>
        <w:rPr>
          <w:rFonts w:ascii="Arial" w:hAnsi="Arial" w:eastAsia="Arial"/>
          <w:b/>
          <w:i w:val="0"/>
          <w:color w:val="3B423F"/>
          <w:sz w:val="16"/>
        </w:rPr>
        <w:t>07 / INVESTMENT CASE</w:t>
      </w:r>
    </w:p>
    <w:p>
      <w:pPr>
        <w:keepNext/>
        <w:spacing w:before="0" w:after="160" w:line="226" w:lineRule="auto"/>
      </w:pPr>
      <w:r>
        <w:rPr>
          <w:rFonts w:ascii="Arial" w:hAnsi="Arial" w:eastAsia="Arial"/>
          <w:b/>
          <w:i w:val="0"/>
          <w:color w:val="171A17"/>
          <w:sz w:val="50"/>
        </w:rPr>
        <w:t>The platform exists; adoption is the next risk to retire</w:t>
      </w:r>
    </w:p>
    <w:p>
      <w:pPr>
        <w:keepNext w:val="0"/>
        <w:spacing w:before="0" w:after="260" w:line="259" w:lineRule="auto"/>
      </w:pPr>
      <w:r>
        <w:rPr>
          <w:rFonts w:ascii="Arial" w:hAnsi="Arial" w:eastAsia="Arial"/>
          <w:b w:val="0"/>
          <w:i w:val="0"/>
          <w:color w:val="666E67"/>
          <w:sz w:val="21"/>
        </w:rPr>
        <w:t>BO has moved beyond a visual prototype, but it should not claim commercial validation it has not earned.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9"/>
        <w:gridCol w:w="7056"/>
      </w:tblGrid>
      <w:tr>
        <w:tc>
          <w:tcPr>
            <w:tcW w:type="dxa" w:w="3139"/>
            <w:shd w:fill="3B423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STATE</w:t>
            </w:r>
          </w:p>
        </w:tc>
        <w:tc>
          <w:tcPr>
            <w:tcW w:type="dxa" w:w="7056"/>
            <w:shd w:fill="3B423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INVESTOR INTERPRETATION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Built and tested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Structured discovery; 1,923-title taxonomy; 120-capability catalog; dependency graph; generated schemas and Command Center; persistent records and builds; tenant access; accounts; billing; observability; deployment; versioning.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Connected data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A real, read-only Stripe connector imports customers, subscriptions, and payments; credentials are encrypted and never returned; remote deletions are marked rather than silently applied.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Compounding layer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Industry research with citations plus anonymous, thresholded capability and reusable-pattern learning.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Still partial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Durable workflow runtime, granular server-enforced agent policies, broader connector lifecycle, unified human approval queues, product/engineering/security/legal/data-governance domain depth.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Not yet proven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Repeatable acquisition, retention, willingness to pay, vertical unit economics, and accuracy improvement from real customer behavior.</w:t>
            </w:r>
          </w:p>
        </w:tc>
      </w:tr>
    </w:tbl>
    <w:p>
      <w:pPr>
        <w:spacing w:after="20"/>
      </w:pPr>
    </w:p>
    <w:p>
      <w:pPr>
        <w:keepNext/>
        <w:spacing w:before="160" w:after="140" w:line="259" w:lineRule="auto"/>
      </w:pPr>
      <w:r>
        <w:rPr>
          <w:rFonts w:ascii="Arial" w:hAnsi="Arial" w:eastAsia="Arial"/>
          <w:b/>
          <w:i w:val="0"/>
          <w:color w:val="171A17"/>
          <w:sz w:val="24"/>
        </w:rPr>
        <w:t>Capital should unlock evidence, not more surface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1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Design-partner deployment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6"/>
              </w:rPr>
              <w:t>Put BO into one vertical and instrument activation, correction, usage, and conversion.</w:t>
            </w:r>
          </w:p>
        </w:tc>
        <w:tc>
          <w:tcPr>
            <w:tcW w:type="dxa" w:w="5040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2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Durable execution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6"/>
              </w:rPr>
              <w:t>Ship workflow instances, retries, exception handling, and a unified approval queue.</w:t>
            </w:r>
          </w:p>
        </w:tc>
      </w:tr>
      <w:tr>
        <w:tc>
          <w:tcPr>
            <w:tcW w:type="dxa" w:w="5040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3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Connector depth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6"/>
              </w:rPr>
              <w:t>Add the few systems that dominate the chosen vertical, with monitored synchronization.</w:t>
            </w:r>
          </w:p>
        </w:tc>
        <w:tc>
          <w:tcPr>
            <w:tcW w:type="dxa" w:w="5040"/>
            <w:tcMar>
              <w:top w:w="150" w:type="dxa"/>
              <w:start w:w="160" w:type="dxa"/>
              <w:bottom w:w="145" w:type="dxa"/>
              <w:end w:w="160" w:type="dxa"/>
            </w:tcMar>
            <w:shd w:fill="F4F5F2"/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4"/>
              </w:rPr>
              <w:t>4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1"/>
              </w:rPr>
              <w:t>Governed intelligence</w:t>
            </w:r>
          </w:p>
          <w:p>
            <w:pPr>
              <w:keepNext w:val="0"/>
              <w:spacing w:before="0" w:after="0" w:line="254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6"/>
              </w:rPr>
              <w:t>Enforce agent tool/data scopes, capture traces, and gate autonomy through evaluations.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95"/>
      </w:tblGrid>
      <w:tr>
        <w:tc>
          <w:tcPr>
            <w:tcW w:type="dxa" w:w="10195"/>
            <w:shd w:fill="E9ECE7"/>
            <w:tcMar>
              <w:top w:w="190" w:type="dxa"/>
              <w:start w:w="220" w:type="dxa"/>
              <w:bottom w:w="180" w:type="dxa"/>
              <w:end w:w="220" w:type="dxa"/>
            </w:tcMar>
            <w:tcBorders>
              <w:top w:val="single" w:sz="10" w:color="3B423F"/>
            </w:tcBorders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5"/>
              </w:rPr>
              <w:t>INVESTMENT THESIS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8"/>
              </w:rPr>
              <w:t>BO can become the adaptive operating layer for companies underserved by both point tools and ERP suites.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9"/>
              </w:rPr>
              <w:t>The near-term case is not 'AI for every business.' It is measurable: prove that a generated Command Center is recognized faster, corrected less, used earlier, and retained more deeply as industry evidence and connections accumulate.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140" w:line="252" w:lineRule="auto"/>
      </w:pPr>
      <w:r>
        <w:rPr>
          <w:rFonts w:ascii="Arial" w:hAnsi="Arial" w:eastAsia="Arial"/>
          <w:b/>
          <w:i w:val="0"/>
          <w:color w:val="3B423F"/>
          <w:sz w:val="16"/>
        </w:rPr>
        <w:t>08 / INVESTMENT CASE</w:t>
      </w:r>
    </w:p>
    <w:p>
      <w:pPr>
        <w:keepNext/>
        <w:spacing w:before="0" w:after="160" w:line="226" w:lineRule="auto"/>
      </w:pPr>
      <w:r>
        <w:rPr>
          <w:rFonts w:ascii="Arial" w:hAnsi="Arial" w:eastAsia="Arial"/>
          <w:b/>
          <w:i w:val="0"/>
          <w:color w:val="171A17"/>
          <w:sz w:val="50"/>
        </w:rPr>
        <w:t>The opportunity is large because the hard parts are real</w:t>
      </w:r>
    </w:p>
    <w:p>
      <w:pPr>
        <w:keepNext w:val="0"/>
        <w:spacing w:before="0" w:after="260" w:line="259" w:lineRule="auto"/>
      </w:pPr>
      <w:r>
        <w:rPr>
          <w:rFonts w:ascii="Arial" w:hAnsi="Arial" w:eastAsia="Arial"/>
          <w:b w:val="0"/>
          <w:i w:val="0"/>
          <w:color w:val="666E67"/>
          <w:sz w:val="21"/>
        </w:rPr>
        <w:t>A credible investor case states the risks and the mechanisms BO uses to contain them.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9"/>
        <w:gridCol w:w="7056"/>
      </w:tblGrid>
      <w:tr>
        <w:tc>
          <w:tcPr>
            <w:tcW w:type="dxa" w:w="3139"/>
            <w:shd w:fill="3B423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RISK</w:t>
            </w:r>
          </w:p>
        </w:tc>
        <w:tc>
          <w:tcPr>
            <w:tcW w:type="dxa" w:w="7056"/>
            <w:shd w:fill="3B423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RESPONSE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Cold start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Observed evidence begins empty. Mitigation: cited industry research, conservative authored rules, and vertical concentration.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Wrong inference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A confident but incorrect workspace destroys trust. Mitigation: explicit evidence basis, playback, confidence, corrections, and stated answers overriding all inference.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System-of-record trust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Operators are cautious with core data. Mitigation: tenant isolation, encrypted credentials, read-first connectors, versioning, audit, and no silent deletion.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Connector maintenance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Every external API creates ongoing cost. Mitigation: a uniform provider contract and a narrow, vertical-first connector strategy.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Incumbent response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Suites can add conversational setup. BO's defense is not chat; it is a narrow compiler, company evidence, and an industry learning loop that improves from operation.</w:t>
            </w:r>
          </w:p>
        </w:tc>
      </w:tr>
      <w:tr>
        <w:tc>
          <w:tcPr>
            <w:tcW w:type="dxa" w:w="3139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18"/>
              </w:rPr>
              <w:t>Premature autonomy</w:t>
            </w:r>
          </w:p>
        </w:tc>
        <w:tc>
          <w:tcPr>
            <w:tcW w:type="dxa" w:w="7056"/>
            <w:tcMar>
              <w:top w:w="130" w:type="dxa"/>
              <w:start w:w="150" w:type="dxa"/>
              <w:bottom w:w="125" w:type="dxa"/>
              <w:end w:w="150" w:type="dxa"/>
            </w:tcMar>
            <w:tcBorders>
              <w:bottom w:val="single" w:sz="4" w:color="DCDED9"/>
            </w:tcBorders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7"/>
              </w:rPr>
              <w:t>AI actions can create operational harm. Mitigation: deterministic validation, typed proposals, human approval, scoped tools, and progressive autonomy.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95"/>
      </w:tblGrid>
      <w:tr>
        <w:tc>
          <w:tcPr>
            <w:tcW w:type="dxa" w:w="10195"/>
            <w:shd w:fill="F4F5F2"/>
            <w:tcMar>
              <w:top w:w="190" w:type="dxa"/>
              <w:start w:w="220" w:type="dxa"/>
              <w:bottom w:w="180" w:type="dxa"/>
              <w:end w:w="220" w:type="dxa"/>
            </w:tcMar>
            <w:tcBorders>
              <w:top w:val="single" w:sz="10" w:color="3B423F"/>
            </w:tcBorders>
          </w:tcPr>
          <w:p>
            <w:pPr>
              <w:keepNext w:val="0"/>
              <w:spacing w:before="0" w:after="100" w:line="252" w:lineRule="auto"/>
            </w:pPr>
            <w:r>
              <w:rPr>
                <w:rFonts w:ascii="Arial" w:hAnsi="Arial" w:eastAsia="Arial"/>
                <w:b/>
                <w:i w:val="0"/>
                <w:color w:val="666E67"/>
                <w:sz w:val="15"/>
              </w:rPr>
              <w:t>IN ONE SENTENCE</w:t>
            </w:r>
          </w:p>
          <w:p>
            <w:pPr>
              <w:keepNext w:val="0"/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171A17"/>
                <w:sz w:val="28"/>
              </w:rPr>
              <w:t>BO decides what a company needs instead of asking it to configure what it does not - and it is designed to decide better each time another company in the same industry uses it.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3B423F"/>
                <w:sz w:val="19"/>
              </w:rPr>
              <w:t>That combines a strong product demonstration, a software-margin subscription model, and a privacy-safe data advantage that can compound with focused adoption.</w:t>
            </w:r>
          </w:p>
        </w:tc>
      </w:tr>
    </w:tbl>
    <w:p>
      <w:pPr>
        <w:spacing w:after="20"/>
      </w:pPr>
    </w:p>
    <w:p>
      <w:pPr>
        <w:keepNext/>
        <w:spacing w:before="160" w:after="120" w:line="259" w:lineRule="auto"/>
      </w:pPr>
      <w:r>
        <w:rPr>
          <w:rFonts w:ascii="Arial" w:hAnsi="Arial" w:eastAsia="Arial"/>
          <w:b/>
          <w:i w:val="0"/>
          <w:color w:val="171A17"/>
          <w:sz w:val="24"/>
        </w:rPr>
        <w:t>Source basis</w:t>
      </w:r>
    </w:p>
    <w:p>
      <w:pPr>
        <w:keepNext w:val="0"/>
        <w:spacing w:before="0" w:after="160" w:line="259" w:lineRule="auto"/>
      </w:pPr>
      <w:r>
        <w:rPr>
          <w:rFonts w:ascii="Arial" w:hAnsi="Arial" w:eastAsia="Arial"/>
          <w:b w:val="0"/>
          <w:i w:val="0"/>
          <w:color w:val="3B423F"/>
          <w:sz w:val="17"/>
        </w:rPr>
        <w:t>Prepared from BO's live codebase and internal product materials, including the implementation architecture, roadmap, knowledge base, connected-app design, business research engine, billing model, and Oficial.docm. Product-state claims are limited to behavior represented in the current implementation and tests.</w:t>
      </w:r>
    </w:p>
    <w:p>
      <w:pPr>
        <w:keepNext w:val="0"/>
        <w:spacing w:before="0" w:after="0" w:line="259" w:lineRule="auto"/>
      </w:pPr>
      <w:r>
        <w:rPr>
          <w:rFonts w:ascii="Arial" w:hAnsi="Arial" w:eastAsia="Arial"/>
          <w:b w:val="0"/>
          <w:i/>
          <w:color w:val="666E67"/>
          <w:sz w:val="16"/>
        </w:rPr>
        <w:t>Excluded by design: unsupported traction, market-size, ROI, and payroll/labor calculation claims.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22" w:bottom="835" w:left="102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208"/>
      <w:gridCol w:w="1987"/>
    </w:tblGrid>
    <w:tr>
      <w:tc>
        <w:tcPr>
          <w:tcW w:type="dxa" w:w="820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spacing w:before="0" w:after="0" w:line="252" w:lineRule="auto"/>
          </w:pPr>
          <w:r>
            <w:rPr>
              <w:rFonts w:ascii="Arial" w:hAnsi="Arial" w:eastAsia="Arial"/>
              <w:b w:val="0"/>
              <w:i w:val="0"/>
              <w:color w:val="666E67"/>
              <w:sz w:val="14"/>
            </w:rPr>
            <w:t>PREPARED FOR INVESTOR CONVERSATIONS  |  AUGUST 2026</w:t>
          </w:r>
        </w:p>
      </w:tc>
      <w:tc>
        <w:tcPr>
          <w:tcW w:type="dxa" w:w="1987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66E67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40" w:line="252" w:lineRule="auto"/>
      <w:jc w:val="left"/>
      <w:pBdr>
        <w:bottom w:val="single" w:sz="4" w:space="5" w:color="DCDED9"/>
      </w:pBdr>
    </w:pPr>
    <w:r>
      <w:rPr>
        <w:rFonts w:ascii="Arial" w:hAnsi="Arial" w:eastAsia="Arial"/>
        <w:b/>
        <w:i w:val="0"/>
        <w:color w:val="171A17"/>
        <w:sz w:val="16"/>
      </w:rPr>
      <w:t>BO</w:t>
    </w:r>
    <w:r>
      <w:rPr>
        <w:rFonts w:ascii="Arial" w:hAnsi="Arial" w:eastAsia="Arial"/>
        <w:b w:val="0"/>
        <w:i w:val="0"/>
        <w:color w:val="666E67"/>
        <w:sz w:val="15"/>
      </w:rPr>
      <w:t xml:space="preserve">   |   INVESTOR VALUE PROPOSITION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71A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1A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1A1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B423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1A1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 w:val="0"/>
      <w:i/>
      <w:iCs/>
      <w:color w:val="666E67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 Investor Value Proposition</dc:title>
  <dc:subject>Investor brief for BO, an AI-native Business Command Center</dc:subject>
  <dc:creator>BO</dc:creator>
  <cp:keywords>BO, investor, Business Command Center, AI, operating system</cp:keywords>
  <dc:description>Prepared from the current BO product and internal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