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jako międzywydziałowe koło naukowe przy Wydziale Informatyki i Telekomunikacji (wydział wiodący) oraz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9 ust. 9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………………………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trwa do końca roku akademickiego, w którym Koło zostanie zarejestrowane (§ 9 ust. 8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Tomasza Kajdanowicza oraz dr. hab. inż. Jarosława Szreka, prof. uczelni.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