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AC" w:rsidRDefault="00791E62" w:rsidP="00791E62">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981075</wp:posOffset>
            </wp:positionV>
            <wp:extent cx="5934075" cy="2828925"/>
            <wp:effectExtent l="0" t="0" r="9525"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t>First, the program reads a user-inputted DNA sequence as a string. With this string, the program then converts all of</w:t>
      </w:r>
      <w:bookmarkStart w:id="0" w:name="_GoBack"/>
      <w:bookmarkEnd w:id="0"/>
      <w:r>
        <w:t xml:space="preserve"> the characters to uppercase, checks the string for any invalid characters (any character but A, C, G, or T), and removes them. This string is then processed to calculate the total number of bases as well as the number of each particular base (adenine, cytosine, guanine, and thymine) in the sequence. The percent G~C content is then calculated and, finally, all of the results are printed.</w:t>
      </w:r>
    </w:p>
    <w:p w:rsidR="00791E62" w:rsidRDefault="00791E62">
      <w:r>
        <w:t>Generally, housekeeping promoters (yellow, in the above graph) have a higher G~C content than tissue specific promoters (green, in the above graph).</w:t>
      </w:r>
    </w:p>
    <w:sectPr w:rsidR="00791E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E62" w:rsidRDefault="00791E62" w:rsidP="00791E62">
      <w:pPr>
        <w:spacing w:after="0" w:line="240" w:lineRule="auto"/>
      </w:pPr>
      <w:r>
        <w:separator/>
      </w:r>
    </w:p>
  </w:endnote>
  <w:endnote w:type="continuationSeparator" w:id="0">
    <w:p w:rsidR="00791E62" w:rsidRDefault="00791E62" w:rsidP="0079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E62" w:rsidRDefault="00791E62" w:rsidP="00791E62">
      <w:pPr>
        <w:spacing w:after="0" w:line="240" w:lineRule="auto"/>
      </w:pPr>
      <w:r>
        <w:separator/>
      </w:r>
    </w:p>
  </w:footnote>
  <w:footnote w:type="continuationSeparator" w:id="0">
    <w:p w:rsidR="00791E62" w:rsidRDefault="00791E62" w:rsidP="00791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B24" w:rsidRDefault="00986B24">
    <w:pPr>
      <w:pStyle w:val="Header"/>
    </w:pPr>
    <w:r>
      <w:t>Sterling Price – U49743231</w:t>
    </w:r>
  </w:p>
  <w:p w:rsidR="00986B24" w:rsidRDefault="00986B24">
    <w:pPr>
      <w:pStyle w:val="Header"/>
    </w:pPr>
    <w:r>
      <w:t>Matthew Kramer – U20891900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62"/>
    <w:rsid w:val="001904AC"/>
    <w:rsid w:val="00791E62"/>
    <w:rsid w:val="00986B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7E42C-E262-48FD-8513-226DF950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62"/>
  </w:style>
  <w:style w:type="paragraph" w:styleId="Footer">
    <w:name w:val="footer"/>
    <w:basedOn w:val="Normal"/>
    <w:link w:val="FooterChar"/>
    <w:uiPriority w:val="99"/>
    <w:unhideWhenUsed/>
    <w:rsid w:val="0079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School\2015%20-%20Spring\Programming%20Concepts\Team%20Project%201\Excel%20Docu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 of DNA Sequences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4">
                  <a:lumMod val="60000"/>
                  <a:lumOff val="40000"/>
                </a:schemeClr>
              </a:solidFill>
              <a:ln>
                <a:noFill/>
              </a:ln>
              <a:effectLst/>
            </c:spPr>
          </c:dPt>
          <c:dPt>
            <c:idx val="1"/>
            <c:invertIfNegative val="0"/>
            <c:bubble3D val="0"/>
            <c:spPr>
              <a:solidFill>
                <a:schemeClr val="accent4">
                  <a:lumMod val="60000"/>
                  <a:lumOff val="40000"/>
                </a:schemeClr>
              </a:solidFill>
              <a:ln>
                <a:noFill/>
              </a:ln>
              <a:effectLst/>
            </c:spPr>
          </c:dPt>
          <c:dPt>
            <c:idx val="2"/>
            <c:invertIfNegative val="0"/>
            <c:bubble3D val="0"/>
            <c:spPr>
              <a:solidFill>
                <a:schemeClr val="accent4">
                  <a:lumMod val="60000"/>
                  <a:lumOff val="40000"/>
                </a:schemeClr>
              </a:solidFill>
              <a:ln>
                <a:noFill/>
              </a:ln>
              <a:effectLst/>
            </c:spPr>
          </c:dPt>
          <c:dPt>
            <c:idx val="3"/>
            <c:invertIfNegative val="0"/>
            <c:bubble3D val="0"/>
            <c:spPr>
              <a:solidFill>
                <a:schemeClr val="accent6"/>
              </a:solidFill>
              <a:ln>
                <a:noFill/>
              </a:ln>
              <a:effectLst/>
            </c:spPr>
          </c:dPt>
          <c:dPt>
            <c:idx val="4"/>
            <c:invertIfNegative val="0"/>
            <c:bubble3D val="0"/>
            <c:spPr>
              <a:solidFill>
                <a:schemeClr val="accent6"/>
              </a:solidFill>
              <a:ln>
                <a:noFill/>
              </a:ln>
              <a:effectLst/>
            </c:spPr>
          </c:dPt>
          <c:dPt>
            <c:idx val="5"/>
            <c:invertIfNegative val="0"/>
            <c:bubble3D val="0"/>
            <c:spPr>
              <a:solidFill>
                <a:schemeClr val="accent6"/>
              </a:solidFill>
              <a:ln>
                <a:noFill/>
              </a:ln>
              <a:effectLst/>
            </c:spPr>
          </c:dPt>
          <c:cat>
            <c:strRef>
              <c:f>Sheet1!$B$2:$B$7</c:f>
              <c:strCache>
                <c:ptCount val="6"/>
                <c:pt idx="0">
                  <c:v>Heat Shock Protein 90 (HSP90)</c:v>
                </c:pt>
                <c:pt idx="1">
                  <c:v>Glucose-6-phosphate Dehydrogenase (G6PD)</c:v>
                </c:pt>
                <c:pt idx="2">
                  <c:v>Beta-actin (ACTB)</c:v>
                </c:pt>
                <c:pt idx="3">
                  <c:v>Bone Morphogenetic Protein 5 (BMP5)</c:v>
                </c:pt>
                <c:pt idx="4">
                  <c:v>Hemoglobin Beta (HBB)</c:v>
                </c:pt>
                <c:pt idx="5">
                  <c:v>GABA Receptor A1 (GABRA1)</c:v>
                </c:pt>
              </c:strCache>
            </c:strRef>
          </c:cat>
          <c:val>
            <c:numRef>
              <c:f>Sheet1!$C$2:$C$7</c:f>
              <c:numCache>
                <c:formatCode>0%</c:formatCode>
                <c:ptCount val="6"/>
                <c:pt idx="0">
                  <c:v>0.78</c:v>
                </c:pt>
                <c:pt idx="1">
                  <c:v>0.8</c:v>
                </c:pt>
                <c:pt idx="2">
                  <c:v>0.78</c:v>
                </c:pt>
                <c:pt idx="3">
                  <c:v>0.48</c:v>
                </c:pt>
                <c:pt idx="4">
                  <c:v>0.54</c:v>
                </c:pt>
                <c:pt idx="5">
                  <c:v>0.38</c:v>
                </c:pt>
              </c:numCache>
            </c:numRef>
          </c:val>
        </c:ser>
        <c:dLbls>
          <c:showLegendKey val="0"/>
          <c:showVal val="0"/>
          <c:showCatName val="0"/>
          <c:showSerName val="0"/>
          <c:showPercent val="0"/>
          <c:showBubbleSize val="0"/>
        </c:dLbls>
        <c:gapWidth val="182"/>
        <c:axId val="165033280"/>
        <c:axId val="165096552"/>
      </c:barChart>
      <c:catAx>
        <c:axId val="165033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6552"/>
        <c:crosses val="autoZero"/>
        <c:auto val="1"/>
        <c:lblAlgn val="ctr"/>
        <c:lblOffset val="100"/>
        <c:noMultiLvlLbl val="0"/>
      </c:catAx>
      <c:valAx>
        <c:axId val="1650965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3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Matthew</dc:creator>
  <cp:keywords/>
  <dc:description/>
  <cp:lastModifiedBy>Kramer, Matthew</cp:lastModifiedBy>
  <cp:revision>2</cp:revision>
  <dcterms:created xsi:type="dcterms:W3CDTF">2015-03-10T14:03:00Z</dcterms:created>
  <dcterms:modified xsi:type="dcterms:W3CDTF">2015-03-10T14:15:00Z</dcterms:modified>
</cp:coreProperties>
</file>