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AB9B4" w14:textId="77777777" w:rsidR="00277473" w:rsidRDefault="004B21D7">
      <w:pPr>
        <w:pStyle w:val="Heading1"/>
      </w:pPr>
      <w:bookmarkStart w:id="0" w:name="Xedc14e2bec20634c38391a908c2ebddd5d5d073"/>
      <w:r>
        <w:t>Automated Floor Plan Area Verification Using Computer Vision</w:t>
      </w:r>
    </w:p>
    <w:p w14:paraId="7CC31736" w14:textId="77777777" w:rsidR="00277473" w:rsidRDefault="004B21D7">
      <w:pPr>
        <w:pStyle w:val="Heading2"/>
      </w:pPr>
      <w:bookmarkStart w:id="1" w:name="overview"/>
      <w:r>
        <w:t>Overview</w:t>
      </w:r>
    </w:p>
    <w:p w14:paraId="635E7750" w14:textId="77777777" w:rsidR="00277473" w:rsidRDefault="004B21D7">
      <w:pPr>
        <w:pStyle w:val="FirstParagraph"/>
      </w:pPr>
      <w:r>
        <w:t>Floor area verification is a mandatory step in architectural approval and compliance workflows. Traditionally, this task is performed manually, making it slow, error‑prone, and difficult to scale across large submission volumes.</w:t>
      </w:r>
    </w:p>
    <w:p w14:paraId="3A142C47" w14:textId="77777777" w:rsidR="00277473" w:rsidRDefault="004B21D7">
      <w:pPr>
        <w:pStyle w:val="BodyText"/>
      </w:pPr>
      <w:r>
        <w:t xml:space="preserve">This article describes a </w:t>
      </w:r>
      <w:r>
        <w:rPr>
          <w:b/>
          <w:bCs/>
        </w:rPr>
        <w:t>de</w:t>
      </w:r>
      <w:r>
        <w:rPr>
          <w:b/>
          <w:bCs/>
        </w:rPr>
        <w:t>terministic, production‑ready computer vision system</w:t>
      </w:r>
      <w:r>
        <w:t xml:space="preserve"> that automatically verifies enclosed floor areas from architectural drawings. The system operates on rasterized CAD/DWF inputs, achieves </w:t>
      </w:r>
      <w:r>
        <w:rPr>
          <w:b/>
          <w:bCs/>
        </w:rPr>
        <w:t>&gt;99.8% agreement</w:t>
      </w:r>
      <w:r>
        <w:t xml:space="preserve"> with documented areas, and processes each drawing</w:t>
      </w:r>
      <w:r>
        <w:t xml:space="preserve"> in </w:t>
      </w:r>
      <w:r>
        <w:rPr>
          <w:b/>
          <w:bCs/>
        </w:rPr>
        <w:t>under one second</w:t>
      </w:r>
      <w:r>
        <w:t xml:space="preserve"> on standard hardware.</w:t>
      </w:r>
    </w:p>
    <w:p w14:paraId="32F36F11" w14:textId="77777777" w:rsidR="00277473" w:rsidRDefault="004B21D7">
      <w:pPr>
        <w:pStyle w:val="BodyText"/>
      </w:pPr>
      <w:r>
        <w:t xml:space="preserve">The solution is designed specifically for </w:t>
      </w:r>
      <w:r>
        <w:rPr>
          <w:b/>
          <w:bCs/>
        </w:rPr>
        <w:t>regulated environments</w:t>
      </w:r>
      <w:r>
        <w:t>, where drawing standards, reproducibility, and auditability are more important than heuristic or black‑box approaches.</w:t>
      </w:r>
    </w:p>
    <w:p w14:paraId="3FF8BFC2" w14:textId="77777777" w:rsidR="00277473" w:rsidRDefault="004B21D7">
      <w:r>
        <w:pict w14:anchorId="1D8C12B2">
          <v:rect id="_x0000_i1637" style="width:0;height:1.5pt" o:hralign="center" o:hrstd="t" o:hr="t"/>
        </w:pict>
      </w:r>
    </w:p>
    <w:p w14:paraId="44E1547C" w14:textId="77777777" w:rsidR="00277473" w:rsidRDefault="004B21D7">
      <w:pPr>
        <w:pStyle w:val="Heading2"/>
      </w:pPr>
      <w:bookmarkStart w:id="2" w:name="architecture-diagrams"/>
      <w:bookmarkEnd w:id="1"/>
      <w:r>
        <w:lastRenderedPageBreak/>
        <w:t>Architecture Diagrams</w:t>
      </w:r>
    </w:p>
    <w:p w14:paraId="1372FF2D" w14:textId="163181DE" w:rsidR="00277473" w:rsidRDefault="004B21D7">
      <w:pPr>
        <w:pStyle w:val="Heading3"/>
      </w:pPr>
      <w:bookmarkStart w:id="3" w:name="highlevel-system-architecture"/>
      <w:r>
        <w:t>High‑</w:t>
      </w:r>
      <w:r>
        <w:t>Level System Architecture</w:t>
      </w:r>
    </w:p>
    <w:p w14:paraId="034F18D6" w14:textId="56F13332" w:rsidR="00B95415" w:rsidRDefault="005D3654" w:rsidP="00B95415">
      <w:pPr>
        <w:pStyle w:val="BodyText"/>
      </w:pPr>
      <w:bookmarkStart w:id="4" w:name="runtime-processing-sequence"/>
      <w:bookmarkEnd w:id="3"/>
      <w:r>
        <w:rPr>
          <w:noProof/>
        </w:rPr>
        <w:drawing>
          <wp:inline distT="0" distB="0" distL="0" distR="0" wp14:anchorId="7E45EB83" wp14:editId="6461905A">
            <wp:extent cx="59436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AE2C" w14:textId="0B9E61C0" w:rsidR="00277473" w:rsidRDefault="004B21D7">
      <w:pPr>
        <w:pStyle w:val="Heading3"/>
      </w:pPr>
      <w:r>
        <w:lastRenderedPageBreak/>
        <w:t>Runtime Processing Sequence</w:t>
      </w:r>
    </w:p>
    <w:p w14:paraId="5618C5FD" w14:textId="1964DA42" w:rsidR="00B95415" w:rsidRPr="00B95415" w:rsidRDefault="00B95415" w:rsidP="00B95415">
      <w:pPr>
        <w:pStyle w:val="BodyText"/>
      </w:pPr>
      <w:r>
        <w:rPr>
          <w:noProof/>
        </w:rPr>
        <w:drawing>
          <wp:inline distT="0" distB="0" distL="0" distR="0" wp14:anchorId="62A96F70" wp14:editId="21D6B47C">
            <wp:extent cx="5943600" cy="3437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ADC7" w14:textId="77777777" w:rsidR="00B95415" w:rsidRDefault="00B95415"/>
    <w:p w14:paraId="15CFE78A" w14:textId="302815B6" w:rsidR="00277473" w:rsidRDefault="004B21D7">
      <w:r>
        <w:pict w14:anchorId="21B60019">
          <v:rect id="_x0000_i1638" style="width:0;height:1.5pt" o:hralign="center" o:hrstd="t" o:hr="t"/>
        </w:pict>
      </w:r>
    </w:p>
    <w:p w14:paraId="63F261E3" w14:textId="77777777" w:rsidR="00277473" w:rsidRDefault="004B21D7">
      <w:pPr>
        <w:pStyle w:val="Heading2"/>
      </w:pPr>
      <w:bookmarkStart w:id="5" w:name="problem-statement"/>
      <w:bookmarkEnd w:id="2"/>
      <w:bookmarkEnd w:id="4"/>
      <w:r>
        <w:t>Problem Statement</w:t>
      </w:r>
    </w:p>
    <w:p w14:paraId="64A2299D" w14:textId="77777777" w:rsidR="00277473" w:rsidRDefault="004B21D7">
      <w:pPr>
        <w:pStyle w:val="FirstParagraph"/>
      </w:pPr>
      <w:r>
        <w:t>Approval authorities and compliance teams must verify that the floor area declared in architectural drawings accurately matches the geometry shown in the plan.</w:t>
      </w:r>
    </w:p>
    <w:p w14:paraId="3C23584F" w14:textId="77777777" w:rsidR="00277473" w:rsidRDefault="004B21D7">
      <w:pPr>
        <w:pStyle w:val="BodyText"/>
      </w:pPr>
      <w:r>
        <w:t xml:space="preserve">Manual verification involves: - Measuring dimensions directly from drawings - </w:t>
      </w:r>
      <w:r>
        <w:t>Decomposing irregular polygons - Recalculating areas by hand or spreadsheet</w:t>
      </w:r>
    </w:p>
    <w:p w14:paraId="32FF943C" w14:textId="77777777" w:rsidR="00277473" w:rsidRDefault="004B21D7">
      <w:pPr>
        <w:pStyle w:val="Heading3"/>
      </w:pPr>
      <w:bookmarkStart w:id="6" w:name="key-challenges"/>
      <w:r>
        <w:t>Key Challenges</w:t>
      </w:r>
    </w:p>
    <w:p w14:paraId="11E68ADB" w14:textId="77777777" w:rsidR="00277473" w:rsidRDefault="004B21D7">
      <w:pPr>
        <w:pStyle w:val="Compact"/>
        <w:numPr>
          <w:ilvl w:val="0"/>
          <w:numId w:val="2"/>
        </w:numPr>
      </w:pPr>
      <w:r>
        <w:t>High time cost per drawing</w:t>
      </w:r>
    </w:p>
    <w:p w14:paraId="5469AADB" w14:textId="77777777" w:rsidR="00277473" w:rsidRDefault="004B21D7">
      <w:pPr>
        <w:pStyle w:val="Compact"/>
        <w:numPr>
          <w:ilvl w:val="0"/>
          <w:numId w:val="2"/>
        </w:numPr>
      </w:pPr>
      <w:r>
        <w:t>Human measurement errors</w:t>
      </w:r>
    </w:p>
    <w:p w14:paraId="74CC6F58" w14:textId="77777777" w:rsidR="00277473" w:rsidRDefault="004B21D7">
      <w:pPr>
        <w:pStyle w:val="Compact"/>
        <w:numPr>
          <w:ilvl w:val="0"/>
          <w:numId w:val="2"/>
        </w:numPr>
      </w:pPr>
      <w:r>
        <w:t>Poor scalability for large submission volumes</w:t>
      </w:r>
    </w:p>
    <w:p w14:paraId="61D8705D" w14:textId="77777777" w:rsidR="00277473" w:rsidRDefault="004B21D7">
      <w:pPr>
        <w:pStyle w:val="Compact"/>
        <w:numPr>
          <w:ilvl w:val="0"/>
          <w:numId w:val="2"/>
        </w:numPr>
      </w:pPr>
      <w:r>
        <w:t>Complex layouts with interior walls, annotations, and irregular bou</w:t>
      </w:r>
      <w:r>
        <w:t>ndaries</w:t>
      </w:r>
    </w:p>
    <w:p w14:paraId="475B811E" w14:textId="77777777" w:rsidR="00277473" w:rsidRDefault="004B21D7">
      <w:r>
        <w:pict w14:anchorId="5E2E72DB">
          <v:rect id="_x0000_i1639" style="width:0;height:1.5pt" o:hralign="center" o:hrstd="t" o:hr="t"/>
        </w:pict>
      </w:r>
    </w:p>
    <w:p w14:paraId="1C7533DE" w14:textId="77777777" w:rsidR="00277473" w:rsidRDefault="004B21D7">
      <w:pPr>
        <w:pStyle w:val="Heading2"/>
      </w:pPr>
      <w:bookmarkStart w:id="7" w:name="design-goals"/>
      <w:bookmarkEnd w:id="5"/>
      <w:bookmarkEnd w:id="6"/>
      <w:r>
        <w:t>Design Goals</w:t>
      </w:r>
    </w:p>
    <w:p w14:paraId="57538890" w14:textId="77777777" w:rsidR="00277473" w:rsidRDefault="004B21D7">
      <w:pPr>
        <w:pStyle w:val="FirstParagraph"/>
      </w:pPr>
      <w:r>
        <w:t>The system was designed to meet the following goals:</w:t>
      </w:r>
    </w:p>
    <w:p w14:paraId="3AAAF001" w14:textId="77777777" w:rsidR="00277473" w:rsidRDefault="004B21D7">
      <w:pPr>
        <w:pStyle w:val="Compact"/>
        <w:numPr>
          <w:ilvl w:val="0"/>
          <w:numId w:val="3"/>
        </w:numPr>
      </w:pPr>
      <w:r>
        <w:rPr>
          <w:b/>
          <w:bCs/>
        </w:rPr>
        <w:t>Accuracy:</w:t>
      </w:r>
      <w:r>
        <w:t xml:space="preserve"> ≥ 99% agreement with documented areas</w:t>
      </w:r>
    </w:p>
    <w:p w14:paraId="4AC61B39" w14:textId="77777777" w:rsidR="00277473" w:rsidRDefault="004B21D7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Determinism:</w:t>
      </w:r>
      <w:r>
        <w:t xml:space="preserve"> Identical inputs produce identical outputs</w:t>
      </w:r>
    </w:p>
    <w:p w14:paraId="2D0F30C6" w14:textId="77777777" w:rsidR="00277473" w:rsidRDefault="004B21D7">
      <w:pPr>
        <w:pStyle w:val="Compact"/>
        <w:numPr>
          <w:ilvl w:val="0"/>
          <w:numId w:val="3"/>
        </w:numPr>
      </w:pPr>
      <w:r>
        <w:rPr>
          <w:b/>
          <w:bCs/>
        </w:rPr>
        <w:t>Explainability:</w:t>
      </w:r>
      <w:r>
        <w:t xml:space="preserve"> Results can be visually and mathematically audited</w:t>
      </w:r>
    </w:p>
    <w:p w14:paraId="3ACEF851" w14:textId="77777777" w:rsidR="00277473" w:rsidRDefault="004B21D7">
      <w:pPr>
        <w:pStyle w:val="Compact"/>
        <w:numPr>
          <w:ilvl w:val="0"/>
          <w:numId w:val="3"/>
        </w:numPr>
      </w:pPr>
      <w:r>
        <w:rPr>
          <w:b/>
          <w:bCs/>
        </w:rPr>
        <w:t>Robustness:</w:t>
      </w:r>
      <w:r>
        <w:t xml:space="preserve"> Works with interior walls, annotations, and noisy raster data</w:t>
      </w:r>
    </w:p>
    <w:p w14:paraId="311913D8" w14:textId="77777777" w:rsidR="00277473" w:rsidRDefault="004B21D7">
      <w:pPr>
        <w:pStyle w:val="Compact"/>
        <w:numPr>
          <w:ilvl w:val="0"/>
          <w:numId w:val="3"/>
        </w:numPr>
      </w:pPr>
      <w:r>
        <w:rPr>
          <w:b/>
          <w:bCs/>
        </w:rPr>
        <w:t>Performance:</w:t>
      </w:r>
      <w:r>
        <w:t xml:space="preserve"> Sub‑second processing time per image</w:t>
      </w:r>
    </w:p>
    <w:p w14:paraId="2A1B05D5" w14:textId="77777777" w:rsidR="00277473" w:rsidRDefault="004B21D7">
      <w:pPr>
        <w:pStyle w:val="Compact"/>
        <w:numPr>
          <w:ilvl w:val="0"/>
          <w:numId w:val="3"/>
        </w:numPr>
      </w:pPr>
      <w:r>
        <w:rPr>
          <w:b/>
          <w:bCs/>
        </w:rPr>
        <w:t>Integration:</w:t>
      </w:r>
      <w:r>
        <w:t xml:space="preserve"> Compatible with existing CAD‑based submission workflows</w:t>
      </w:r>
    </w:p>
    <w:p w14:paraId="69BB9757" w14:textId="77777777" w:rsidR="00277473" w:rsidRDefault="004B21D7">
      <w:r>
        <w:pict w14:anchorId="36F9291B">
          <v:rect id="_x0000_i1640" style="width:0;height:1.5pt" o:hralign="center" o:hrstd="t" o:hr="t"/>
        </w:pict>
      </w:r>
    </w:p>
    <w:p w14:paraId="5CA9D213" w14:textId="77777777" w:rsidR="00277473" w:rsidRDefault="004B21D7">
      <w:pPr>
        <w:pStyle w:val="Heading2"/>
      </w:pPr>
      <w:bookmarkStart w:id="8" w:name="input-assumptions-standards"/>
      <w:bookmarkEnd w:id="7"/>
      <w:r>
        <w:t>Input Assumptions &amp; Standards</w:t>
      </w:r>
    </w:p>
    <w:p w14:paraId="79ED0B33" w14:textId="77777777" w:rsidR="00277473" w:rsidRDefault="004B21D7">
      <w:pPr>
        <w:pStyle w:val="FirstParagraph"/>
      </w:pPr>
      <w:r>
        <w:t xml:space="preserve">This system operates within a </w:t>
      </w:r>
      <w:r>
        <w:rPr>
          <w:b/>
          <w:bCs/>
        </w:rPr>
        <w:t>c</w:t>
      </w:r>
      <w:r>
        <w:rPr>
          <w:b/>
          <w:bCs/>
        </w:rPr>
        <w:t>ontrolled drawing submission environment</w:t>
      </w:r>
      <w:r>
        <w:t>.</w:t>
      </w:r>
    </w:p>
    <w:p w14:paraId="15D39DBD" w14:textId="77777777" w:rsidR="00277473" w:rsidRDefault="004B21D7">
      <w:pPr>
        <w:pStyle w:val="Heading3"/>
      </w:pPr>
      <w:bookmarkStart w:id="9" w:name="drawing-rules"/>
      <w:r>
        <w:t>Drawing Rules</w:t>
      </w:r>
    </w:p>
    <w:p w14:paraId="72571906" w14:textId="77777777" w:rsidR="00277473" w:rsidRDefault="004B21D7">
      <w:pPr>
        <w:pStyle w:val="Compact"/>
        <w:numPr>
          <w:ilvl w:val="0"/>
          <w:numId w:val="4"/>
        </w:numPr>
      </w:pPr>
      <w:r>
        <w:t>The area to be verified is explicitly delineated in the source CAD/DWF file</w:t>
      </w:r>
    </w:p>
    <w:p w14:paraId="1267F252" w14:textId="77777777" w:rsidR="00277473" w:rsidRDefault="004B21D7">
      <w:pPr>
        <w:pStyle w:val="Compact"/>
        <w:numPr>
          <w:ilvl w:val="0"/>
          <w:numId w:val="4"/>
        </w:numPr>
      </w:pPr>
      <w:r>
        <w:t>Boundary geometry is defined according to submission standards</w:t>
      </w:r>
    </w:p>
    <w:p w14:paraId="38C7E013" w14:textId="77777777" w:rsidR="00277473" w:rsidRDefault="004B21D7">
      <w:pPr>
        <w:pStyle w:val="Compact"/>
        <w:numPr>
          <w:ilvl w:val="0"/>
          <w:numId w:val="4"/>
        </w:numPr>
      </w:pPr>
      <w:r>
        <w:t xml:space="preserve">Interior walls, annotations, and dimensions may exist inside </w:t>
      </w:r>
      <w:r>
        <w:t>the boundary</w:t>
      </w:r>
    </w:p>
    <w:p w14:paraId="66EBF9CA" w14:textId="77777777" w:rsidR="00277473" w:rsidRDefault="004B21D7">
      <w:pPr>
        <w:pStyle w:val="Heading3"/>
      </w:pPr>
      <w:bookmarkStart w:id="10" w:name="rasterization"/>
      <w:bookmarkEnd w:id="9"/>
      <w:r>
        <w:t>Rasterization</w:t>
      </w:r>
    </w:p>
    <w:p w14:paraId="05DA9FC4" w14:textId="77777777" w:rsidR="00277473" w:rsidRDefault="004B21D7">
      <w:pPr>
        <w:pStyle w:val="FirstParagraph"/>
      </w:pPr>
      <w:r>
        <w:t>All drawings originate as vector CAD/DWF files and are rasterized using controlled parameters:</w:t>
      </w:r>
    </w:p>
    <w:p w14:paraId="2F2FCC77" w14:textId="77777777" w:rsidR="00277473" w:rsidRDefault="004B21D7">
      <w:pPr>
        <w:pStyle w:val="Compact"/>
        <w:numPr>
          <w:ilvl w:val="0"/>
          <w:numId w:val="5"/>
        </w:numPr>
      </w:pPr>
      <w:r>
        <w:t>Fixed DPI (e.g., 96 DPI)</w:t>
      </w:r>
    </w:p>
    <w:p w14:paraId="57C3B5CA" w14:textId="77777777" w:rsidR="00277473" w:rsidRDefault="004B21D7">
      <w:pPr>
        <w:pStyle w:val="Compact"/>
        <w:numPr>
          <w:ilvl w:val="0"/>
          <w:numId w:val="5"/>
        </w:numPr>
      </w:pPr>
      <w:r>
        <w:t>Known output resolution</w:t>
      </w:r>
    </w:p>
    <w:p w14:paraId="0A21E7F1" w14:textId="77777777" w:rsidR="00277473" w:rsidRDefault="004B21D7">
      <w:pPr>
        <w:pStyle w:val="Compact"/>
        <w:numPr>
          <w:ilvl w:val="0"/>
          <w:numId w:val="5"/>
        </w:numPr>
      </w:pPr>
      <w:r>
        <w:t>Consistent scaling behavior</w:t>
      </w:r>
    </w:p>
    <w:p w14:paraId="51CBCF0F" w14:textId="77777777" w:rsidR="00277473" w:rsidRDefault="004B21D7">
      <w:pPr>
        <w:pStyle w:val="FirstParagraph"/>
      </w:pPr>
      <w:r>
        <w:t>This guarantees deterministic pixel‑to‑real‑world convers</w:t>
      </w:r>
      <w:r>
        <w:t>ion.</w:t>
      </w:r>
    </w:p>
    <w:p w14:paraId="12D3495E" w14:textId="77777777" w:rsidR="00277473" w:rsidRDefault="004B21D7">
      <w:r>
        <w:pict w14:anchorId="0FAAB9B8">
          <v:rect id="_x0000_i1641" style="width:0;height:1.5pt" o:hralign="center" o:hrstd="t" o:hr="t"/>
        </w:pict>
      </w:r>
    </w:p>
    <w:p w14:paraId="4EB26999" w14:textId="77777777" w:rsidR="00277473" w:rsidRDefault="004B21D7">
      <w:pPr>
        <w:pStyle w:val="Heading2"/>
      </w:pPr>
      <w:bookmarkStart w:id="11" w:name="boundary-normalization-preprocessing"/>
      <w:bookmarkEnd w:id="8"/>
      <w:bookmarkEnd w:id="10"/>
      <w:r>
        <w:t>Boundary Normalization (Preprocessing)</w:t>
      </w:r>
    </w:p>
    <w:p w14:paraId="2D89F33E" w14:textId="77777777" w:rsidR="00277473" w:rsidRDefault="004B21D7">
      <w:pPr>
        <w:pStyle w:val="FirstParagraph"/>
      </w:pPr>
      <w:r>
        <w:t xml:space="preserve">A dedicated preprocessing module converts the designated verification boundary into a </w:t>
      </w:r>
      <w:r>
        <w:rPr>
          <w:b/>
          <w:bCs/>
        </w:rPr>
        <w:t>standardized raster representation</w:t>
      </w:r>
      <w:r>
        <w:t>.</w:t>
      </w:r>
    </w:p>
    <w:p w14:paraId="20455124" w14:textId="77777777" w:rsidR="00277473" w:rsidRDefault="004B21D7">
      <w:pPr>
        <w:pStyle w:val="Heading3"/>
      </w:pPr>
      <w:bookmarkStart w:id="12" w:name="what-this-module-does"/>
      <w:r>
        <w:t>What This Module Does</w:t>
      </w:r>
    </w:p>
    <w:p w14:paraId="1E468DB9" w14:textId="77777777" w:rsidR="00277473" w:rsidRDefault="004B21D7">
      <w:pPr>
        <w:pStyle w:val="Compact"/>
        <w:numPr>
          <w:ilvl w:val="0"/>
          <w:numId w:val="6"/>
        </w:numPr>
      </w:pPr>
      <w:r>
        <w:t>Detects the boundary geometry defined by CAD rules</w:t>
      </w:r>
    </w:p>
    <w:p w14:paraId="13B7BC2A" w14:textId="77777777" w:rsidR="00277473" w:rsidRDefault="004B21D7">
      <w:pPr>
        <w:pStyle w:val="Compact"/>
        <w:numPr>
          <w:ilvl w:val="0"/>
          <w:numId w:val="6"/>
        </w:numPr>
      </w:pPr>
      <w:r>
        <w:t>Converts the bo</w:t>
      </w:r>
      <w:r>
        <w:t>undary to a single canonical color (yellow)</w:t>
      </w:r>
    </w:p>
    <w:p w14:paraId="0ABA5574" w14:textId="77777777" w:rsidR="00277473" w:rsidRDefault="004B21D7">
      <w:pPr>
        <w:pStyle w:val="Compact"/>
        <w:numPr>
          <w:ilvl w:val="0"/>
          <w:numId w:val="6"/>
        </w:numPr>
      </w:pPr>
      <w:r>
        <w:t>Enforces minimum thickness and continuity</w:t>
      </w:r>
    </w:p>
    <w:p w14:paraId="296CED7A" w14:textId="77777777" w:rsidR="00277473" w:rsidRDefault="004B21D7">
      <w:pPr>
        <w:pStyle w:val="Heading3"/>
      </w:pPr>
      <w:bookmarkStart w:id="13" w:name="why-this-matters"/>
      <w:bookmarkEnd w:id="12"/>
      <w:r>
        <w:t>Why This Matters</w:t>
      </w:r>
    </w:p>
    <w:p w14:paraId="52DF2CD9" w14:textId="77777777" w:rsidR="00277473" w:rsidRDefault="004B21D7">
      <w:pPr>
        <w:pStyle w:val="Compact"/>
        <w:numPr>
          <w:ilvl w:val="0"/>
          <w:numId w:val="7"/>
        </w:numPr>
      </w:pPr>
      <w:r>
        <w:t>Color is not used as a heuristic</w:t>
      </w:r>
    </w:p>
    <w:p w14:paraId="56C85E44" w14:textId="77777777" w:rsidR="00277473" w:rsidRDefault="004B21D7">
      <w:pPr>
        <w:pStyle w:val="Compact"/>
        <w:numPr>
          <w:ilvl w:val="0"/>
          <w:numId w:val="7"/>
        </w:numPr>
      </w:pPr>
      <w:r>
        <w:t xml:space="preserve">Color acts as a </w:t>
      </w:r>
      <w:r>
        <w:rPr>
          <w:b/>
          <w:bCs/>
        </w:rPr>
        <w:t>semantic label</w:t>
      </w:r>
      <w:r>
        <w:t xml:space="preserve"> indicating the verification boundary</w:t>
      </w:r>
    </w:p>
    <w:p w14:paraId="5FD543F2" w14:textId="77777777" w:rsidR="00277473" w:rsidRDefault="004B21D7">
      <w:pPr>
        <w:pStyle w:val="Compact"/>
        <w:numPr>
          <w:ilvl w:val="0"/>
          <w:numId w:val="7"/>
        </w:numPr>
      </w:pPr>
      <w:r>
        <w:t>The core algorithm always operates on normalized inputs</w:t>
      </w:r>
    </w:p>
    <w:p w14:paraId="139C94AD" w14:textId="77777777" w:rsidR="00277473" w:rsidRDefault="004B21D7">
      <w:r>
        <w:pict w14:anchorId="23A37135">
          <v:rect id="_x0000_i1642" style="width:0;height:1.5pt" o:hralign="center" o:hrstd="t" o:hr="t"/>
        </w:pict>
      </w:r>
    </w:p>
    <w:p w14:paraId="79006AB0" w14:textId="77777777" w:rsidR="00277473" w:rsidRDefault="004B21D7">
      <w:pPr>
        <w:pStyle w:val="Heading2"/>
      </w:pPr>
      <w:bookmarkStart w:id="14" w:name="system-pipeline"/>
      <w:bookmarkEnd w:id="11"/>
      <w:bookmarkEnd w:id="13"/>
      <w:r>
        <w:lastRenderedPageBreak/>
        <w:t>System Pipeline</w:t>
      </w:r>
    </w:p>
    <w:p w14:paraId="2009EAD5" w14:textId="77777777" w:rsidR="00277473" w:rsidRDefault="004B21D7">
      <w:pPr>
        <w:pStyle w:val="SourceCode"/>
      </w:pPr>
      <w:r>
        <w:rPr>
          <w:rStyle w:val="VerbatimChar"/>
        </w:rPr>
        <w:t>CAD / DWF Drawing</w:t>
      </w:r>
      <w:r>
        <w:br/>
      </w:r>
      <w:r>
        <w:rPr>
          <w:rStyle w:val="VerbatimChar"/>
        </w:rPr>
        <w:t xml:space="preserve">   → Rasterization (controlled DPI)</w:t>
      </w:r>
      <w:r>
        <w:br/>
      </w:r>
      <w:r>
        <w:rPr>
          <w:rStyle w:val="VerbatimChar"/>
        </w:rPr>
        <w:t xml:space="preserve">   → Boundary Normalization</w:t>
      </w:r>
      <w:r>
        <w:br/>
      </w:r>
      <w:r>
        <w:rPr>
          <w:rStyle w:val="VerbatimChar"/>
        </w:rPr>
        <w:t xml:space="preserve">   → HSV Masking</w:t>
      </w:r>
      <w:r>
        <w:br/>
      </w:r>
      <w:r>
        <w:rPr>
          <w:rStyle w:val="VerbatimChar"/>
        </w:rPr>
        <w:t xml:space="preserve">   → Outer Boundary Isolation</w:t>
      </w:r>
      <w:r>
        <w:br/>
      </w:r>
      <w:r>
        <w:rPr>
          <w:rStyle w:val="VerbatimChar"/>
        </w:rPr>
        <w:t xml:space="preserve">   → Morphological Cleanup</w:t>
      </w:r>
      <w:r>
        <w:br/>
      </w:r>
      <w:r>
        <w:rPr>
          <w:rStyle w:val="VerbatimChar"/>
        </w:rPr>
        <w:t xml:space="preserve">   → Outside‑In Flood Fill</w:t>
      </w:r>
      <w:r>
        <w:br/>
      </w:r>
      <w:r>
        <w:rPr>
          <w:rStyle w:val="VerbatimChar"/>
        </w:rPr>
        <w:t xml:space="preserve">   → Interior Region Extraction</w:t>
      </w:r>
      <w:r>
        <w:br/>
      </w:r>
      <w:r>
        <w:rPr>
          <w:rStyle w:val="VerbatimChar"/>
        </w:rPr>
        <w:t xml:space="preserve">   → Area &amp; Perimeter Calculation</w:t>
      </w:r>
      <w:r>
        <w:br/>
      </w:r>
      <w:r>
        <w:rPr>
          <w:rStyle w:val="VerbatimChar"/>
        </w:rPr>
        <w:t xml:space="preserve">   → Pixel‑to‑Meter Conversion</w:t>
      </w:r>
      <w:r>
        <w:br/>
      </w:r>
      <w:r>
        <w:rPr>
          <w:rStyle w:val="VerbatimChar"/>
        </w:rPr>
        <w:t xml:space="preserve">   → Verification Output</w:t>
      </w:r>
    </w:p>
    <w:p w14:paraId="3782C1D3" w14:textId="77777777" w:rsidR="00277473" w:rsidRDefault="004B21D7">
      <w:r>
        <w:pict w14:anchorId="503ABBEB">
          <v:rect id="_x0000_i1643" style="width:0;height:1.5pt" o:hralign="center" o:hrstd="t" o:hr="t"/>
        </w:pict>
      </w:r>
    </w:p>
    <w:p w14:paraId="2E528A54" w14:textId="77777777" w:rsidR="00277473" w:rsidRDefault="004B21D7">
      <w:pPr>
        <w:pStyle w:val="Heading2"/>
      </w:pPr>
      <w:bookmarkStart w:id="15" w:name="image-processing-methodology"/>
      <w:bookmarkEnd w:id="14"/>
      <w:r>
        <w:t>Image Processing Methodology</w:t>
      </w:r>
    </w:p>
    <w:p w14:paraId="2F9187B7" w14:textId="77777777" w:rsidR="00277473" w:rsidRDefault="004B21D7">
      <w:pPr>
        <w:pStyle w:val="Heading3"/>
      </w:pPr>
      <w:bookmarkStart w:id="16" w:name="boundary-detection"/>
      <w:r>
        <w:t>Boundary Detection</w:t>
      </w:r>
    </w:p>
    <w:p w14:paraId="7D105117" w14:textId="77777777" w:rsidR="00277473" w:rsidRDefault="004B21D7">
      <w:pPr>
        <w:pStyle w:val="Compact"/>
        <w:numPr>
          <w:ilvl w:val="0"/>
          <w:numId w:val="8"/>
        </w:numPr>
      </w:pPr>
      <w:r>
        <w:t>The image is converted to HSV color space</w:t>
      </w:r>
    </w:p>
    <w:p w14:paraId="7603E8D9" w14:textId="77777777" w:rsidR="00277473" w:rsidRDefault="004B21D7">
      <w:pPr>
        <w:pStyle w:val="Compact"/>
        <w:numPr>
          <w:ilvl w:val="0"/>
          <w:numId w:val="8"/>
        </w:numPr>
      </w:pPr>
      <w:r>
        <w:t>A fixed HSV range isolates the normalized</w:t>
      </w:r>
      <w:r>
        <w:t xml:space="preserve"> boundary</w:t>
      </w:r>
    </w:p>
    <w:p w14:paraId="0F08B2AA" w14:textId="77777777" w:rsidR="00277473" w:rsidRDefault="004B21D7">
      <w:pPr>
        <w:pStyle w:val="SourceCode"/>
      </w:pPr>
      <w:r>
        <w:rPr>
          <w:rStyle w:val="VerbatimChar"/>
        </w:rPr>
        <w:t>Hue: 20–35</w:t>
      </w:r>
      <w:r>
        <w:br/>
      </w:r>
      <w:r>
        <w:rPr>
          <w:rStyle w:val="VerbatimChar"/>
        </w:rPr>
        <w:t>Saturation: 100–255</w:t>
      </w:r>
      <w:r>
        <w:br/>
      </w:r>
      <w:r>
        <w:rPr>
          <w:rStyle w:val="VerbatimChar"/>
        </w:rPr>
        <w:t>Value: 100–255</w:t>
      </w:r>
    </w:p>
    <w:p w14:paraId="5BBAD18A" w14:textId="77777777" w:rsidR="00277473" w:rsidRDefault="004B21D7">
      <w:pPr>
        <w:pStyle w:val="Heading3"/>
      </w:pPr>
      <w:bookmarkStart w:id="17" w:name="outer-boundary-selection"/>
      <w:bookmarkEnd w:id="16"/>
      <w:r>
        <w:t>Outer Boundary Selection</w:t>
      </w:r>
    </w:p>
    <w:p w14:paraId="2905744D" w14:textId="77777777" w:rsidR="00277473" w:rsidRDefault="004B21D7">
      <w:pPr>
        <w:pStyle w:val="Compact"/>
        <w:numPr>
          <w:ilvl w:val="0"/>
          <w:numId w:val="9"/>
        </w:numPr>
      </w:pPr>
      <w:r>
        <w:t xml:space="preserve">Only </w:t>
      </w:r>
      <w:r>
        <w:rPr>
          <w:b/>
          <w:bCs/>
        </w:rPr>
        <w:t>external contours</w:t>
      </w:r>
      <w:r>
        <w:t xml:space="preserve"> are considered</w:t>
      </w:r>
    </w:p>
    <w:p w14:paraId="514B674B" w14:textId="77777777" w:rsidR="00277473" w:rsidRDefault="004B21D7">
      <w:pPr>
        <w:pStyle w:val="Compact"/>
        <w:numPr>
          <w:ilvl w:val="0"/>
          <w:numId w:val="9"/>
        </w:numPr>
      </w:pPr>
      <w:r>
        <w:t xml:space="preserve">The </w:t>
      </w:r>
      <w:r>
        <w:rPr>
          <w:b/>
          <w:bCs/>
        </w:rPr>
        <w:t>largest contour by area</w:t>
      </w:r>
      <w:r>
        <w:t xml:space="preserve"> is selected as the outer boundary</w:t>
      </w:r>
    </w:p>
    <w:p w14:paraId="54C6805C" w14:textId="77777777" w:rsidR="00277473" w:rsidRDefault="004B21D7">
      <w:pPr>
        <w:pStyle w:val="FirstParagraph"/>
      </w:pPr>
      <w:r>
        <w:t>This guarantees that: - Interior walls are ignored - Annotation lines canno</w:t>
      </w:r>
      <w:r>
        <w:t>t become the boundary</w:t>
      </w:r>
    </w:p>
    <w:p w14:paraId="5E373AA3" w14:textId="77777777" w:rsidR="00277473" w:rsidRDefault="004B21D7">
      <w:r>
        <w:pict w14:anchorId="78481304">
          <v:rect id="_x0000_i1644" style="width:0;height:1.5pt" o:hralign="center" o:hrstd="t" o:hr="t"/>
        </w:pict>
      </w:r>
    </w:p>
    <w:p w14:paraId="07D16AAA" w14:textId="77777777" w:rsidR="00277473" w:rsidRDefault="004B21D7">
      <w:pPr>
        <w:pStyle w:val="Heading2"/>
      </w:pPr>
      <w:bookmarkStart w:id="18" w:name="barrier-construction"/>
      <w:bookmarkEnd w:id="15"/>
      <w:bookmarkEnd w:id="17"/>
      <w:r>
        <w:t>Barrier Construction</w:t>
      </w:r>
    </w:p>
    <w:p w14:paraId="07F5C15F" w14:textId="77777777" w:rsidR="00277473" w:rsidRDefault="004B21D7">
      <w:pPr>
        <w:pStyle w:val="FirstParagraph"/>
      </w:pPr>
      <w:r>
        <w:t>The selected outer boundary is converted into a robust flood‑fill barrier:</w:t>
      </w:r>
    </w:p>
    <w:p w14:paraId="7A08032B" w14:textId="77777777" w:rsidR="00277473" w:rsidRDefault="004B21D7">
      <w:pPr>
        <w:pStyle w:val="Compact"/>
        <w:numPr>
          <w:ilvl w:val="0"/>
          <w:numId w:val="10"/>
        </w:numPr>
      </w:pPr>
      <w:r>
        <w:t>The contour is filled to form a solid region</w:t>
      </w:r>
    </w:p>
    <w:p w14:paraId="206E8887" w14:textId="77777777" w:rsidR="00277473" w:rsidRDefault="004B21D7">
      <w:pPr>
        <w:pStyle w:val="Compact"/>
        <w:numPr>
          <w:ilvl w:val="0"/>
          <w:numId w:val="10"/>
        </w:numPr>
      </w:pPr>
      <w:r>
        <w:t>Morphological closing bridges small raster gaps</w:t>
      </w:r>
    </w:p>
    <w:p w14:paraId="4B7858EB" w14:textId="77777777" w:rsidR="00277473" w:rsidRDefault="004B21D7">
      <w:pPr>
        <w:pStyle w:val="Compact"/>
        <w:numPr>
          <w:ilvl w:val="0"/>
          <w:numId w:val="10"/>
        </w:numPr>
      </w:pPr>
      <w:r>
        <w:t xml:space="preserve">The outline is redrawn as a </w:t>
      </w:r>
      <w:r>
        <w:rPr>
          <w:b/>
          <w:bCs/>
        </w:rPr>
        <w:t>thick (10‑pixel</w:t>
      </w:r>
      <w:r>
        <w:rPr>
          <w:b/>
          <w:bCs/>
        </w:rPr>
        <w:t>) barrier</w:t>
      </w:r>
    </w:p>
    <w:p w14:paraId="62F7F9D9" w14:textId="77777777" w:rsidR="00277473" w:rsidRDefault="004B21D7">
      <w:pPr>
        <w:pStyle w:val="FirstParagraph"/>
      </w:pPr>
      <w:r>
        <w:t>This barrier acts as the only obstacle during flood filling.</w:t>
      </w:r>
    </w:p>
    <w:p w14:paraId="5E38E8CD" w14:textId="77777777" w:rsidR="00277473" w:rsidRDefault="004B21D7">
      <w:r>
        <w:pict w14:anchorId="000E68D5">
          <v:rect id="_x0000_i1645" style="width:0;height:1.5pt" o:hralign="center" o:hrstd="t" o:hr="t"/>
        </w:pict>
      </w:r>
    </w:p>
    <w:p w14:paraId="4847DAB0" w14:textId="77777777" w:rsidR="00277473" w:rsidRDefault="004B21D7">
      <w:pPr>
        <w:pStyle w:val="Heading2"/>
      </w:pPr>
      <w:bookmarkStart w:id="19" w:name="outsidein-floodfill-strategy"/>
      <w:bookmarkEnd w:id="18"/>
      <w:r>
        <w:lastRenderedPageBreak/>
        <w:t>Outside‑In Flood‑Fill Strategy</w:t>
      </w:r>
    </w:p>
    <w:p w14:paraId="079D6017" w14:textId="77777777" w:rsidR="00277473" w:rsidRDefault="004B21D7">
      <w:pPr>
        <w:pStyle w:val="Heading3"/>
      </w:pPr>
      <w:bookmarkStart w:id="20" w:name="motivation"/>
      <w:r>
        <w:t>Motivation</w:t>
      </w:r>
    </w:p>
    <w:p w14:paraId="3B7C1724" w14:textId="77777777" w:rsidR="00277473" w:rsidRDefault="004B21D7">
      <w:pPr>
        <w:pStyle w:val="FirstParagraph"/>
      </w:pPr>
      <w:r>
        <w:t>Traditional approaches fail when interior walls fragment the interior region. Flood filling from a center seed point often produces holes and</w:t>
      </w:r>
      <w:r>
        <w:t xml:space="preserve"> incorrect areas.</w:t>
      </w:r>
    </w:p>
    <w:p w14:paraId="2290902E" w14:textId="77777777" w:rsidR="00277473" w:rsidRDefault="004B21D7">
      <w:pPr>
        <w:pStyle w:val="Heading3"/>
      </w:pPr>
      <w:bookmarkStart w:id="21" w:name="strategy"/>
      <w:bookmarkEnd w:id="20"/>
      <w:r>
        <w:t>Strategy</w:t>
      </w:r>
    </w:p>
    <w:p w14:paraId="1EF7EEDC" w14:textId="77777777" w:rsidR="00277473" w:rsidRDefault="004B21D7">
      <w:pPr>
        <w:pStyle w:val="FirstParagraph"/>
      </w:pPr>
      <w:r>
        <w:t xml:space="preserve">The system instead explicitly identifies the </w:t>
      </w:r>
      <w:r>
        <w:rPr>
          <w:b/>
          <w:bCs/>
        </w:rPr>
        <w:t>outside</w:t>
      </w:r>
      <w:r>
        <w:t xml:space="preserve"> region:</w:t>
      </w:r>
    </w:p>
    <w:p w14:paraId="28931F9A" w14:textId="77777777" w:rsidR="00277473" w:rsidRDefault="004B21D7">
      <w:pPr>
        <w:pStyle w:val="Compact"/>
        <w:numPr>
          <w:ilvl w:val="0"/>
          <w:numId w:val="11"/>
        </w:numPr>
      </w:pPr>
      <w:r>
        <w:t>Invert the barrier mask</w:t>
      </w:r>
    </w:p>
    <w:p w14:paraId="2F301AD5" w14:textId="77777777" w:rsidR="00277473" w:rsidRDefault="004B21D7">
      <w:pPr>
        <w:pStyle w:val="Compact"/>
        <w:numPr>
          <w:ilvl w:val="0"/>
          <w:numId w:val="11"/>
        </w:numPr>
      </w:pPr>
      <w:r>
        <w:t xml:space="preserve">Flood fill from </w:t>
      </w:r>
      <w:r>
        <w:rPr>
          <w:b/>
          <w:bCs/>
        </w:rPr>
        <w:t>all four image corners</w:t>
      </w:r>
    </w:p>
    <w:p w14:paraId="63822695" w14:textId="77777777" w:rsidR="00277473" w:rsidRDefault="004B21D7">
      <w:pPr>
        <w:pStyle w:val="Compact"/>
        <w:numPr>
          <w:ilvl w:val="0"/>
          <w:numId w:val="11"/>
        </w:numPr>
      </w:pPr>
      <w:r>
        <w:t>Mark all reachable pixels as outside</w:t>
      </w:r>
    </w:p>
    <w:p w14:paraId="130F0DBB" w14:textId="77777777" w:rsidR="00277473" w:rsidRDefault="004B21D7">
      <w:pPr>
        <w:pStyle w:val="Compact"/>
        <w:numPr>
          <w:ilvl w:val="0"/>
          <w:numId w:val="11"/>
        </w:numPr>
      </w:pPr>
      <w:r>
        <w:t>Define the inside as all remaining unfilled pixels</w:t>
      </w:r>
    </w:p>
    <w:p w14:paraId="438E6C1E" w14:textId="77777777" w:rsidR="00277473" w:rsidRDefault="004B21D7">
      <w:pPr>
        <w:pStyle w:val="Heading3"/>
      </w:pPr>
      <w:bookmarkStart w:id="22" w:name="why-this-works"/>
      <w:bookmarkEnd w:id="21"/>
      <w:r>
        <w:t>Why This Works</w:t>
      </w:r>
    </w:p>
    <w:p w14:paraId="49D682AE" w14:textId="77777777" w:rsidR="00277473" w:rsidRDefault="004B21D7">
      <w:pPr>
        <w:pStyle w:val="Compact"/>
        <w:numPr>
          <w:ilvl w:val="0"/>
          <w:numId w:val="12"/>
        </w:numPr>
      </w:pPr>
      <w:r>
        <w:t>Interior walls do not block the fill</w:t>
      </w:r>
    </w:p>
    <w:p w14:paraId="45602780" w14:textId="77777777" w:rsidR="00277473" w:rsidRDefault="004B21D7">
      <w:pPr>
        <w:pStyle w:val="Compact"/>
        <w:numPr>
          <w:ilvl w:val="0"/>
          <w:numId w:val="12"/>
        </w:numPr>
      </w:pPr>
      <w:r>
        <w:t>Annotation lines are ignored</w:t>
      </w:r>
    </w:p>
    <w:p w14:paraId="14D82E9F" w14:textId="77777777" w:rsidR="00277473" w:rsidRDefault="004B21D7">
      <w:pPr>
        <w:pStyle w:val="Compact"/>
        <w:numPr>
          <w:ilvl w:val="0"/>
          <w:numId w:val="12"/>
        </w:numPr>
      </w:pPr>
      <w:r>
        <w:t>Irregular and complex shapes are handled correctly</w:t>
      </w:r>
    </w:p>
    <w:p w14:paraId="44814A6D" w14:textId="77777777" w:rsidR="00277473" w:rsidRDefault="004B21D7">
      <w:r>
        <w:pict w14:anchorId="43D867E7">
          <v:rect id="_x0000_i1646" style="width:0;height:1.5pt" o:hralign="center" o:hrstd="t" o:hr="t"/>
        </w:pict>
      </w:r>
    </w:p>
    <w:p w14:paraId="2F110812" w14:textId="77777777" w:rsidR="00277473" w:rsidRDefault="004B21D7">
      <w:pPr>
        <w:pStyle w:val="Heading2"/>
      </w:pPr>
      <w:bookmarkStart w:id="23" w:name="interior-region-cleanup"/>
      <w:bookmarkEnd w:id="19"/>
      <w:bookmarkEnd w:id="22"/>
      <w:r>
        <w:t>Interior Region Cleanup</w:t>
      </w:r>
    </w:p>
    <w:p w14:paraId="3B6F7787" w14:textId="77777777" w:rsidR="00277473" w:rsidRDefault="004B21D7">
      <w:pPr>
        <w:pStyle w:val="FirstParagraph"/>
      </w:pPr>
      <w:r>
        <w:t>After flood fill:</w:t>
      </w:r>
    </w:p>
    <w:p w14:paraId="3E49397B" w14:textId="77777777" w:rsidR="00277473" w:rsidRDefault="004B21D7">
      <w:pPr>
        <w:pStyle w:val="Compact"/>
        <w:numPr>
          <w:ilvl w:val="0"/>
          <w:numId w:val="13"/>
        </w:numPr>
      </w:pPr>
      <w:r>
        <w:t>Small noise artifacts are rem</w:t>
      </w:r>
      <w:r>
        <w:t>oved using morphological opening</w:t>
      </w:r>
    </w:p>
    <w:p w14:paraId="1A2EE972" w14:textId="77777777" w:rsidR="00277473" w:rsidRDefault="004B21D7">
      <w:pPr>
        <w:pStyle w:val="Compact"/>
        <w:numPr>
          <w:ilvl w:val="0"/>
          <w:numId w:val="13"/>
        </w:numPr>
      </w:pPr>
      <w:r>
        <w:t>Minor gaps are closed using morphological closing</w:t>
      </w:r>
    </w:p>
    <w:p w14:paraId="14BE7204" w14:textId="77777777" w:rsidR="00277473" w:rsidRDefault="004B21D7">
      <w:pPr>
        <w:pStyle w:val="FirstParagraph"/>
      </w:pPr>
      <w:r>
        <w:t>The result is a single, continuous interior region representing the verified floor area.</w:t>
      </w:r>
    </w:p>
    <w:p w14:paraId="6928AE63" w14:textId="77777777" w:rsidR="00277473" w:rsidRDefault="004B21D7">
      <w:r>
        <w:pict w14:anchorId="6016EF6B">
          <v:rect id="_x0000_i1647" style="width:0;height:1.5pt" o:hralign="center" o:hrstd="t" o:hr="t"/>
        </w:pict>
      </w:r>
    </w:p>
    <w:p w14:paraId="58B6E8E0" w14:textId="77777777" w:rsidR="00277473" w:rsidRDefault="004B21D7">
      <w:pPr>
        <w:pStyle w:val="Heading2"/>
      </w:pPr>
      <w:bookmarkStart w:id="24" w:name="area-perimeter-calculation"/>
      <w:bookmarkEnd w:id="23"/>
      <w:r>
        <w:t>Area &amp; Perimeter Calculation</w:t>
      </w:r>
    </w:p>
    <w:p w14:paraId="7C10BC34" w14:textId="77777777" w:rsidR="00277473" w:rsidRDefault="004B21D7">
      <w:pPr>
        <w:pStyle w:val="Heading3"/>
      </w:pPr>
      <w:bookmarkStart w:id="25" w:name="pixel-geometry"/>
      <w:r>
        <w:t>Pixel Geometry</w:t>
      </w:r>
    </w:p>
    <w:p w14:paraId="29110723" w14:textId="77777777" w:rsidR="00277473" w:rsidRDefault="004B21D7">
      <w:pPr>
        <w:pStyle w:val="Compact"/>
        <w:numPr>
          <w:ilvl w:val="0"/>
          <w:numId w:val="14"/>
        </w:numPr>
      </w:pPr>
      <w:r>
        <w:t>A contour is extracted from the filled</w:t>
      </w:r>
      <w:r>
        <w:t xml:space="preserve"> interior region</w:t>
      </w:r>
    </w:p>
    <w:p w14:paraId="0D4B8117" w14:textId="77777777" w:rsidR="00277473" w:rsidRDefault="004B21D7">
      <w:pPr>
        <w:pStyle w:val="Compact"/>
        <w:numPr>
          <w:ilvl w:val="0"/>
          <w:numId w:val="14"/>
        </w:numPr>
      </w:pPr>
      <w:r>
        <w:t>Area and perimeter are computed from this contour</w:t>
      </w:r>
    </w:p>
    <w:p w14:paraId="24A40BC0" w14:textId="77777777" w:rsidR="00277473" w:rsidRDefault="004B21D7">
      <w:pPr>
        <w:pStyle w:val="Heading3"/>
      </w:pPr>
      <w:bookmarkStart w:id="26" w:name="realworld-conversion"/>
      <w:bookmarkEnd w:id="25"/>
      <w:r>
        <w:t>Real‑World Conversion</w:t>
      </w:r>
    </w:p>
    <w:p w14:paraId="446387A9" w14:textId="77777777" w:rsidR="00277473" w:rsidRDefault="004B21D7">
      <w:pPr>
        <w:pStyle w:val="FirstParagraph"/>
      </w:pPr>
      <w:r>
        <w:t>Pixel measurements are converted using a known scale:</w:t>
      </w:r>
    </w:p>
    <w:p w14:paraId="3958401A" w14:textId="77777777" w:rsidR="00277473" w:rsidRDefault="004B21D7">
      <w:pPr>
        <w:pStyle w:val="SourceCode"/>
      </w:pPr>
      <w:r>
        <w:rPr>
          <w:rStyle w:val="VerbatimChar"/>
        </w:rPr>
        <w:t>Area (m²) = Area (pixels²) / (pixels_per_meter²)</w:t>
      </w:r>
      <w:r>
        <w:br/>
      </w:r>
      <w:r>
        <w:rPr>
          <w:rStyle w:val="VerbatimChar"/>
        </w:rPr>
        <w:t>Perimeter (m) = Perimeter (pixels) / pixels_per_meter</w:t>
      </w:r>
    </w:p>
    <w:p w14:paraId="099FF9E5" w14:textId="77777777" w:rsidR="00277473" w:rsidRDefault="004B21D7">
      <w:pPr>
        <w:pStyle w:val="FirstParagraph"/>
      </w:pPr>
      <w:r>
        <w:t>Scale is d</w:t>
      </w:r>
      <w:r>
        <w:t>erived from controlled rasterization or calibrated using known dimensions.</w:t>
      </w:r>
    </w:p>
    <w:p w14:paraId="59426E80" w14:textId="77777777" w:rsidR="00277473" w:rsidRDefault="004B21D7">
      <w:r>
        <w:lastRenderedPageBreak/>
        <w:pict w14:anchorId="6AEBD5ED">
          <v:rect id="_x0000_i1648" style="width:0;height:1.5pt" o:hralign="center" o:hrstd="t" o:hr="t"/>
        </w:pict>
      </w:r>
    </w:p>
    <w:p w14:paraId="64961A10" w14:textId="77777777" w:rsidR="00277473" w:rsidRDefault="004B21D7">
      <w:pPr>
        <w:pStyle w:val="Heading2"/>
      </w:pPr>
      <w:bookmarkStart w:id="27" w:name="performance"/>
      <w:bookmarkEnd w:id="24"/>
      <w:bookmarkEnd w:id="26"/>
      <w:r>
        <w:t>Performance</w:t>
      </w:r>
    </w:p>
    <w:p w14:paraId="6D72B16D" w14:textId="77777777" w:rsidR="00277473" w:rsidRDefault="004B21D7">
      <w:pPr>
        <w:pStyle w:val="Compact"/>
        <w:numPr>
          <w:ilvl w:val="0"/>
          <w:numId w:val="15"/>
        </w:numPr>
      </w:pPr>
      <w:r>
        <w:rPr>
          <w:b/>
          <w:bCs/>
        </w:rPr>
        <w:t>Processing time:</w:t>
      </w:r>
      <w:r>
        <w:t xml:space="preserve"> &lt; 1 second per image</w:t>
      </w:r>
    </w:p>
    <w:p w14:paraId="640D85BA" w14:textId="77777777" w:rsidR="00277473" w:rsidRDefault="004B21D7">
      <w:pPr>
        <w:pStyle w:val="Compact"/>
        <w:numPr>
          <w:ilvl w:val="0"/>
          <w:numId w:val="15"/>
        </w:numPr>
      </w:pPr>
      <w:r>
        <w:rPr>
          <w:b/>
          <w:bCs/>
        </w:rPr>
        <w:t>Hardware:</w:t>
      </w:r>
      <w:r>
        <w:t xml:space="preserve"> Standard single‑core CPU</w:t>
      </w:r>
    </w:p>
    <w:p w14:paraId="75D01665" w14:textId="77777777" w:rsidR="00277473" w:rsidRDefault="004B21D7">
      <w:pPr>
        <w:pStyle w:val="Compact"/>
        <w:numPr>
          <w:ilvl w:val="0"/>
          <w:numId w:val="15"/>
        </w:numPr>
      </w:pPr>
      <w:r>
        <w:rPr>
          <w:b/>
          <w:bCs/>
        </w:rPr>
        <w:t>No GPU or ML acceleration required</w:t>
      </w:r>
    </w:p>
    <w:p w14:paraId="4AF81B20" w14:textId="77777777" w:rsidR="00277473" w:rsidRDefault="004B21D7">
      <w:pPr>
        <w:pStyle w:val="FirstParagraph"/>
      </w:pPr>
      <w:r>
        <w:t>The system is suitable for batch processing large plan submissions.</w:t>
      </w:r>
    </w:p>
    <w:p w14:paraId="2B356CF9" w14:textId="77777777" w:rsidR="00277473" w:rsidRDefault="004B21D7">
      <w:r>
        <w:pict w14:anchorId="747AE12D">
          <v:rect id="_x0000_i1649" style="width:0;height:1.5pt" o:hralign="center" o:hrstd="t" o:hr="t"/>
        </w:pict>
      </w:r>
    </w:p>
    <w:p w14:paraId="3BA257D6" w14:textId="77777777" w:rsidR="00277473" w:rsidRDefault="004B21D7">
      <w:pPr>
        <w:pStyle w:val="Heading2"/>
      </w:pPr>
      <w:bookmarkStart w:id="28" w:name="validation-results"/>
      <w:bookmarkEnd w:id="27"/>
      <w:r>
        <w:t>Validation Results</w:t>
      </w:r>
    </w:p>
    <w:p w14:paraId="5E107C3D" w14:textId="77777777" w:rsidR="00277473" w:rsidRDefault="004B21D7">
      <w:pPr>
        <w:pStyle w:val="Heading3"/>
      </w:pPr>
      <w:bookmarkStart w:id="29" w:name="accuracy-definition"/>
      <w:r>
        <w:t>Accuracy Definition</w:t>
      </w:r>
    </w:p>
    <w:p w14:paraId="397B25A6" w14:textId="77777777" w:rsidR="00277473" w:rsidRDefault="004B21D7">
      <w:pPr>
        <w:pStyle w:val="SourceCode"/>
      </w:pPr>
      <w:r>
        <w:rPr>
          <w:rStyle w:val="VerbatimChar"/>
        </w:rPr>
        <w:t>Accuracy = 1 − |Calculated − Documented| / Documented</w:t>
      </w:r>
    </w:p>
    <w:p w14:paraId="446023F3" w14:textId="77777777" w:rsidR="00277473" w:rsidRDefault="004B21D7">
      <w:pPr>
        <w:pStyle w:val="Heading3"/>
      </w:pPr>
      <w:bookmarkStart w:id="30" w:name="realworld-test-results"/>
      <w:bookmarkEnd w:id="29"/>
      <w:r>
        <w:t>Real‑World Test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7"/>
        <w:gridCol w:w="1954"/>
        <w:gridCol w:w="1710"/>
        <w:gridCol w:w="1083"/>
      </w:tblGrid>
      <w:tr w:rsidR="00277473" w14:paraId="5BDFFB3D" w14:textId="77777777" w:rsidTr="00277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500888" w14:textId="77777777" w:rsidR="00277473" w:rsidRDefault="004B21D7">
            <w:pPr>
              <w:pStyle w:val="Compact"/>
            </w:pPr>
            <w:r>
              <w:t>Plan</w:t>
            </w:r>
          </w:p>
        </w:tc>
        <w:tc>
          <w:tcPr>
            <w:tcW w:w="0" w:type="auto"/>
          </w:tcPr>
          <w:p w14:paraId="1464086D" w14:textId="77777777" w:rsidR="00277473" w:rsidRDefault="004B21D7">
            <w:pPr>
              <w:pStyle w:val="Compact"/>
            </w:pPr>
            <w:r>
              <w:t>Documented (m²)</w:t>
            </w:r>
          </w:p>
        </w:tc>
        <w:tc>
          <w:tcPr>
            <w:tcW w:w="0" w:type="auto"/>
          </w:tcPr>
          <w:p w14:paraId="5CA3E7DB" w14:textId="77777777" w:rsidR="00277473" w:rsidRDefault="004B21D7">
            <w:pPr>
              <w:pStyle w:val="Compact"/>
            </w:pPr>
            <w:r>
              <w:t>Calculated (m²)</w:t>
            </w:r>
          </w:p>
        </w:tc>
        <w:tc>
          <w:tcPr>
            <w:tcW w:w="0" w:type="auto"/>
          </w:tcPr>
          <w:p w14:paraId="1702A77C" w14:textId="77777777" w:rsidR="00277473" w:rsidRDefault="004B21D7">
            <w:pPr>
              <w:pStyle w:val="Compact"/>
            </w:pPr>
            <w:r>
              <w:t>Error (%)</w:t>
            </w:r>
          </w:p>
        </w:tc>
      </w:tr>
      <w:tr w:rsidR="00277473" w14:paraId="0EC29B5F" w14:textId="77777777">
        <w:tc>
          <w:tcPr>
            <w:tcW w:w="0" w:type="auto"/>
          </w:tcPr>
          <w:p w14:paraId="3AB64008" w14:textId="77777777" w:rsidR="00277473" w:rsidRDefault="004B21D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CC349D2" w14:textId="77777777" w:rsidR="00277473" w:rsidRDefault="004B21D7">
            <w:pPr>
              <w:pStyle w:val="Compact"/>
            </w:pPr>
            <w:r>
              <w:t>95.0</w:t>
            </w:r>
          </w:p>
        </w:tc>
        <w:tc>
          <w:tcPr>
            <w:tcW w:w="0" w:type="auto"/>
          </w:tcPr>
          <w:p w14:paraId="6AF3F21A" w14:textId="77777777" w:rsidR="00277473" w:rsidRDefault="004B21D7">
            <w:pPr>
              <w:pStyle w:val="Compact"/>
            </w:pPr>
            <w:r>
              <w:t>95.02</w:t>
            </w:r>
          </w:p>
        </w:tc>
        <w:tc>
          <w:tcPr>
            <w:tcW w:w="0" w:type="auto"/>
          </w:tcPr>
          <w:p w14:paraId="2B9BB02E" w14:textId="77777777" w:rsidR="00277473" w:rsidRDefault="004B21D7">
            <w:pPr>
              <w:pStyle w:val="Compact"/>
            </w:pPr>
            <w:r>
              <w:t>0.02</w:t>
            </w:r>
          </w:p>
        </w:tc>
      </w:tr>
      <w:tr w:rsidR="00277473" w14:paraId="0A5A317F" w14:textId="77777777">
        <w:tc>
          <w:tcPr>
            <w:tcW w:w="0" w:type="auto"/>
          </w:tcPr>
          <w:p w14:paraId="5ACF4A00" w14:textId="77777777" w:rsidR="00277473" w:rsidRDefault="004B21D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D56CE92" w14:textId="77777777" w:rsidR="00277473" w:rsidRDefault="004B21D7">
            <w:pPr>
              <w:pStyle w:val="Compact"/>
            </w:pPr>
            <w:r>
              <w:t>279.0</w:t>
            </w:r>
          </w:p>
        </w:tc>
        <w:tc>
          <w:tcPr>
            <w:tcW w:w="0" w:type="auto"/>
          </w:tcPr>
          <w:p w14:paraId="663F9872" w14:textId="77777777" w:rsidR="00277473" w:rsidRDefault="004B21D7">
            <w:pPr>
              <w:pStyle w:val="Compact"/>
            </w:pPr>
            <w:r>
              <w:t>279.0</w:t>
            </w:r>
          </w:p>
        </w:tc>
        <w:tc>
          <w:tcPr>
            <w:tcW w:w="0" w:type="auto"/>
          </w:tcPr>
          <w:p w14:paraId="30C82C59" w14:textId="77777777" w:rsidR="00277473" w:rsidRDefault="004B21D7">
            <w:pPr>
              <w:pStyle w:val="Compact"/>
            </w:pPr>
            <w:r>
              <w:t>0.00</w:t>
            </w:r>
          </w:p>
        </w:tc>
      </w:tr>
      <w:tr w:rsidR="00277473" w14:paraId="718E97F7" w14:textId="77777777">
        <w:tc>
          <w:tcPr>
            <w:tcW w:w="0" w:type="auto"/>
          </w:tcPr>
          <w:p w14:paraId="41297C79" w14:textId="77777777" w:rsidR="00277473" w:rsidRDefault="004B21D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F9915A8" w14:textId="77777777" w:rsidR="00277473" w:rsidRDefault="004B21D7">
            <w:pPr>
              <w:pStyle w:val="Compact"/>
            </w:pPr>
            <w:r>
              <w:t>372.0</w:t>
            </w:r>
          </w:p>
        </w:tc>
        <w:tc>
          <w:tcPr>
            <w:tcW w:w="0" w:type="auto"/>
          </w:tcPr>
          <w:p w14:paraId="5EE0B6DB" w14:textId="77777777" w:rsidR="00277473" w:rsidRDefault="004B21D7">
            <w:pPr>
              <w:pStyle w:val="Compact"/>
            </w:pPr>
            <w:r>
              <w:t>372.58</w:t>
            </w:r>
          </w:p>
        </w:tc>
        <w:tc>
          <w:tcPr>
            <w:tcW w:w="0" w:type="auto"/>
          </w:tcPr>
          <w:p w14:paraId="6DD3CDE4" w14:textId="77777777" w:rsidR="00277473" w:rsidRDefault="004B21D7">
            <w:pPr>
              <w:pStyle w:val="Compact"/>
            </w:pPr>
            <w:r>
              <w:t>0.15</w:t>
            </w:r>
          </w:p>
        </w:tc>
      </w:tr>
    </w:tbl>
    <w:p w14:paraId="0668CD8E" w14:textId="77777777" w:rsidR="00277473" w:rsidRDefault="004B21D7">
      <w:pPr>
        <w:pStyle w:val="Compact"/>
        <w:numPr>
          <w:ilvl w:val="0"/>
          <w:numId w:val="16"/>
        </w:numPr>
      </w:pPr>
      <w:r>
        <w:t xml:space="preserve">Mean agreement: </w:t>
      </w:r>
      <w:r>
        <w:rPr>
          <w:b/>
          <w:bCs/>
        </w:rPr>
        <w:t>&gt;99.8%</w:t>
      </w:r>
    </w:p>
    <w:p w14:paraId="7DA26692" w14:textId="77777777" w:rsidR="00277473" w:rsidRDefault="004B21D7">
      <w:pPr>
        <w:pStyle w:val="Compact"/>
        <w:numPr>
          <w:ilvl w:val="0"/>
          <w:numId w:val="16"/>
        </w:numPr>
      </w:pPr>
      <w:r>
        <w:t>Consistent results across repeated runs</w:t>
      </w:r>
    </w:p>
    <w:p w14:paraId="5A45F2C3" w14:textId="77777777" w:rsidR="00277473" w:rsidRDefault="004B21D7">
      <w:r>
        <w:pict w14:anchorId="291D73C2">
          <v:rect id="_x0000_i1650" style="width:0;height:1.5pt" o:hralign="center" o:hrstd="t" o:hr="t"/>
        </w:pict>
      </w:r>
    </w:p>
    <w:p w14:paraId="487F0944" w14:textId="77777777" w:rsidR="00277473" w:rsidRDefault="004B21D7">
      <w:pPr>
        <w:pStyle w:val="Heading2"/>
      </w:pPr>
      <w:bookmarkStart w:id="31" w:name="benefits-over-manual-verification"/>
      <w:bookmarkEnd w:id="28"/>
      <w:bookmarkEnd w:id="30"/>
      <w:r>
        <w:t>Benefits Over Manual Verification</w:t>
      </w:r>
    </w:p>
    <w:p w14:paraId="4C935B28" w14:textId="77777777" w:rsidR="00277473" w:rsidRDefault="004B21D7">
      <w:pPr>
        <w:pStyle w:val="Compact"/>
        <w:numPr>
          <w:ilvl w:val="0"/>
          <w:numId w:val="17"/>
        </w:numPr>
      </w:pPr>
      <w:r>
        <w:t>Sub‑second processing vs minutes per plan</w:t>
      </w:r>
    </w:p>
    <w:p w14:paraId="4C1CE51F" w14:textId="77777777" w:rsidR="00277473" w:rsidRDefault="004B21D7">
      <w:pPr>
        <w:pStyle w:val="Compact"/>
        <w:numPr>
          <w:ilvl w:val="0"/>
          <w:numId w:val="17"/>
        </w:numPr>
      </w:pPr>
      <w:r>
        <w:t>Deterministic and reproducible results</w:t>
      </w:r>
    </w:p>
    <w:p w14:paraId="0B8EBD11" w14:textId="77777777" w:rsidR="00277473" w:rsidRDefault="004B21D7">
      <w:pPr>
        <w:pStyle w:val="Compact"/>
        <w:numPr>
          <w:ilvl w:val="0"/>
          <w:numId w:val="17"/>
        </w:numPr>
      </w:pPr>
      <w:r>
        <w:t>Visual overlays for audit and review</w:t>
      </w:r>
    </w:p>
    <w:p w14:paraId="7DF7F0BE" w14:textId="77777777" w:rsidR="00277473" w:rsidRDefault="004B21D7">
      <w:pPr>
        <w:pStyle w:val="Compact"/>
        <w:numPr>
          <w:ilvl w:val="0"/>
          <w:numId w:val="17"/>
        </w:numPr>
      </w:pPr>
      <w:r>
        <w:t>Robust handling of complex geometries</w:t>
      </w:r>
    </w:p>
    <w:p w14:paraId="2BDB9260" w14:textId="77777777" w:rsidR="00277473" w:rsidRDefault="004B21D7">
      <w:pPr>
        <w:pStyle w:val="Compact"/>
        <w:numPr>
          <w:ilvl w:val="0"/>
          <w:numId w:val="17"/>
        </w:numPr>
      </w:pPr>
      <w:r>
        <w:t>Scales easily to hundreds of submissions</w:t>
      </w:r>
    </w:p>
    <w:p w14:paraId="218B2F57" w14:textId="77777777" w:rsidR="00277473" w:rsidRDefault="004B21D7">
      <w:r>
        <w:pict w14:anchorId="69EEAF6B">
          <v:rect id="_x0000_i1651" style="width:0;height:1.5pt" o:hralign="center" o:hrstd="t" o:hr="t"/>
        </w:pict>
      </w:r>
    </w:p>
    <w:p w14:paraId="73A3D480" w14:textId="77777777" w:rsidR="00277473" w:rsidRDefault="004B21D7">
      <w:pPr>
        <w:pStyle w:val="Heading2"/>
      </w:pPr>
      <w:bookmarkStart w:id="32" w:name="known-assumptions"/>
      <w:bookmarkEnd w:id="31"/>
      <w:r>
        <w:t>Known Assumptions</w:t>
      </w:r>
    </w:p>
    <w:p w14:paraId="6F1C1FAB" w14:textId="77777777" w:rsidR="00277473" w:rsidRDefault="004B21D7">
      <w:pPr>
        <w:pStyle w:val="Compact"/>
        <w:numPr>
          <w:ilvl w:val="0"/>
          <w:numId w:val="18"/>
        </w:numPr>
      </w:pPr>
      <w:r>
        <w:t>Drawings follow predefined submission standards</w:t>
      </w:r>
    </w:p>
    <w:p w14:paraId="24F7D5FD" w14:textId="77777777" w:rsidR="00277473" w:rsidRDefault="004B21D7">
      <w:pPr>
        <w:pStyle w:val="Compact"/>
        <w:numPr>
          <w:ilvl w:val="0"/>
          <w:numId w:val="18"/>
        </w:numPr>
      </w:pPr>
      <w:r>
        <w:t>The verification boundary is explicitly defined in CAD</w:t>
      </w:r>
    </w:p>
    <w:p w14:paraId="52D90FEB" w14:textId="77777777" w:rsidR="00277473" w:rsidRDefault="004B21D7">
      <w:pPr>
        <w:pStyle w:val="Compact"/>
        <w:numPr>
          <w:ilvl w:val="0"/>
          <w:numId w:val="18"/>
        </w:numPr>
      </w:pPr>
      <w:r>
        <w:t>Rasterization parameters are controlled</w:t>
      </w:r>
    </w:p>
    <w:p w14:paraId="6C448F5F" w14:textId="77777777" w:rsidR="00277473" w:rsidRDefault="004B21D7">
      <w:pPr>
        <w:pStyle w:val="FirstParagraph"/>
      </w:pPr>
      <w:r>
        <w:t>These assumptions align with regulatory and enterprise workflows.</w:t>
      </w:r>
    </w:p>
    <w:p w14:paraId="1D3D2A06" w14:textId="77777777" w:rsidR="00277473" w:rsidRDefault="004B21D7">
      <w:r>
        <w:pict w14:anchorId="04CC82D4">
          <v:rect id="_x0000_i1652" style="width:0;height:1.5pt" o:hralign="center" o:hrstd="t" o:hr="t"/>
        </w:pict>
      </w:r>
    </w:p>
    <w:p w14:paraId="4E81DB0E" w14:textId="77777777" w:rsidR="00277473" w:rsidRDefault="004B21D7">
      <w:pPr>
        <w:pStyle w:val="Heading2"/>
      </w:pPr>
      <w:bookmarkStart w:id="33" w:name="future-enhancements"/>
      <w:bookmarkEnd w:id="32"/>
      <w:r>
        <w:lastRenderedPageBreak/>
        <w:t>Future Enhancements</w:t>
      </w:r>
    </w:p>
    <w:p w14:paraId="66BD8EBC" w14:textId="77777777" w:rsidR="00277473" w:rsidRDefault="004B21D7">
      <w:pPr>
        <w:pStyle w:val="Compact"/>
        <w:numPr>
          <w:ilvl w:val="0"/>
          <w:numId w:val="19"/>
        </w:numPr>
      </w:pPr>
      <w:r>
        <w:t>Automatic scale extraction from CAD annotations</w:t>
      </w:r>
    </w:p>
    <w:p w14:paraId="1119BCA8" w14:textId="77777777" w:rsidR="00277473" w:rsidRDefault="004B21D7">
      <w:pPr>
        <w:pStyle w:val="Compact"/>
        <w:numPr>
          <w:ilvl w:val="0"/>
          <w:numId w:val="19"/>
        </w:numPr>
      </w:pPr>
      <w:r>
        <w:t>Batch and parallel processing pipelines</w:t>
      </w:r>
    </w:p>
    <w:p w14:paraId="23674443" w14:textId="77777777" w:rsidR="00277473" w:rsidRDefault="004B21D7">
      <w:pPr>
        <w:pStyle w:val="Compact"/>
        <w:numPr>
          <w:ilvl w:val="0"/>
          <w:numId w:val="19"/>
        </w:numPr>
      </w:pPr>
      <w:r>
        <w:t>BIM integration</w:t>
      </w:r>
    </w:p>
    <w:p w14:paraId="4BB27FE7" w14:textId="77777777" w:rsidR="00277473" w:rsidRDefault="004B21D7">
      <w:pPr>
        <w:pStyle w:val="Compact"/>
        <w:numPr>
          <w:ilvl w:val="0"/>
          <w:numId w:val="19"/>
        </w:numPr>
      </w:pPr>
      <w:r>
        <w:t>Optional ML‑based bounda</w:t>
      </w:r>
      <w:r>
        <w:t>ry detection for unconstrained inputs</w:t>
      </w:r>
    </w:p>
    <w:p w14:paraId="19E19849" w14:textId="77777777" w:rsidR="00277473" w:rsidRDefault="004B21D7">
      <w:r>
        <w:pict w14:anchorId="34C3A228">
          <v:rect id="_x0000_i1653" style="width:0;height:1.5pt" o:hralign="center" o:hrstd="t" o:hr="t"/>
        </w:pict>
      </w:r>
    </w:p>
    <w:p w14:paraId="7E9BFA6A" w14:textId="77777777" w:rsidR="00277473" w:rsidRDefault="004B21D7">
      <w:pPr>
        <w:pStyle w:val="Heading2"/>
      </w:pPr>
      <w:bookmarkStart w:id="34" w:name="conclusion"/>
      <w:bookmarkEnd w:id="33"/>
      <w:r>
        <w:t>Conclusion</w:t>
      </w:r>
    </w:p>
    <w:p w14:paraId="40E2A2CD" w14:textId="77777777" w:rsidR="00277473" w:rsidRDefault="004B21D7">
      <w:pPr>
        <w:pStyle w:val="FirstParagraph"/>
      </w:pPr>
      <w:r>
        <w:t xml:space="preserve">This system demonstrates that carefully engineered classical computer vision techniques can deliver </w:t>
      </w:r>
      <w:r>
        <w:rPr>
          <w:b/>
          <w:bCs/>
        </w:rPr>
        <w:t>highly accurate, explainable, and scalable</w:t>
      </w:r>
      <w:r>
        <w:t xml:space="preserve"> floor area verification for regulated environments.</w:t>
      </w:r>
    </w:p>
    <w:p w14:paraId="518C7AB2" w14:textId="77777777" w:rsidR="00277473" w:rsidRDefault="004B21D7">
      <w:pPr>
        <w:pStyle w:val="BodyText"/>
      </w:pPr>
      <w:r>
        <w:t>By combini</w:t>
      </w:r>
      <w:r>
        <w:t>ng controlled CAD rasterization, semantic boundary normalization, and an outside‑in flood‑fill strategy, the solution eliminates common failure modes seen in contour‑based methods and manual verification.</w:t>
      </w:r>
    </w:p>
    <w:p w14:paraId="154BF1E8" w14:textId="77777777" w:rsidR="00277473" w:rsidRDefault="004B21D7">
      <w:pPr>
        <w:pStyle w:val="BodyText"/>
      </w:pPr>
      <w:r>
        <w:t xml:space="preserve">The result is a </w:t>
      </w:r>
      <w:r>
        <w:rPr>
          <w:b/>
          <w:bCs/>
        </w:rPr>
        <w:t>compliance‑grade verification pipel</w:t>
      </w:r>
      <w:r>
        <w:rPr>
          <w:b/>
          <w:bCs/>
        </w:rPr>
        <w:t>ine</w:t>
      </w:r>
      <w:r>
        <w:t xml:space="preserve"> that is fast, accurate, auditable, and ready for real‑world deployment.</w:t>
      </w:r>
      <w:bookmarkEnd w:id="0"/>
      <w:bookmarkEnd w:id="34"/>
    </w:p>
    <w:sectPr w:rsidR="002774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D10E4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F6C5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8DA68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7473"/>
    <w:rsid w:val="001836BE"/>
    <w:rsid w:val="00277473"/>
    <w:rsid w:val="004B21D7"/>
    <w:rsid w:val="005D3654"/>
    <w:rsid w:val="00B9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8BA3"/>
  <w15:docId w15:val="{78B2269E-9BF4-4B82-A732-8FCDB6EA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2025-12-17T10:50:00Z</dcterms:created>
  <dcterms:modified xsi:type="dcterms:W3CDTF">2025-12-18T06:45:00Z</dcterms:modified>
</cp:coreProperties>
</file>