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C00000"/>
          <w:sz w:val="20"/>
          <w:szCs w:val="20"/>
        </w:rPr>
        <w:t xml:space="preserve">CONFIDENTIAL</w:t>
      </w:r>
    </w:p>
    <w:p>
      <w:pPr>
        <w:spacing w:after="100"/>
        <w:jc w:val="center"/>
      </w:pPr>
      <w:r>
        <w:rPr>
          <w:rFonts w:ascii="Arial" w:cs="Arial" w:eastAsia="Arial" w:hAnsi="Arial"/>
          <w:b/>
          <w:bCs/>
          <w:color w:val="1F3864"/>
          <w:sz w:val="48"/>
          <w:szCs w:val="48"/>
        </w:rPr>
        <w:t xml:space="preserve">JOPETWIL 71</w:t>
      </w:r>
    </w:p>
    <w:p>
      <w:pPr>
        <w:spacing w:after="200"/>
        <w:jc w:val="center"/>
      </w:pPr>
      <w:r>
        <w:rPr>
          <w:rFonts w:ascii="Arial" w:cs="Arial" w:eastAsia="Arial" w:hAnsi="Arial"/>
          <w:color w:val="1F3864"/>
          <w:sz w:val="32"/>
          <w:szCs w:val="32"/>
        </w:rPr>
        <w:t xml:space="preserve">Charter Hire &amp; Standby Cost Analysis</w:t>
      </w:r>
    </w:p>
    <w:p>
      <w:pPr>
        <w:pBdr>
          <w:bottom w:val="single" w:color="1F3864" w:sz="6" w:space="1"/>
        </w:pBdr>
        <w:spacing w:after="100"/>
        <w:jc w:val="center"/>
      </w:pPr>
      <w:r>
        <w:rPr>
          <w:rFonts w:ascii="Arial" w:cs="Arial" w:eastAsia="Arial" w:hAnsi="Arial"/>
          <w:color w:val="666666"/>
          <w:sz w:val="22"/>
          <w:szCs w:val="22"/>
        </w:rPr>
        <w:t xml:space="preserve">Compensation Claim Assessment under SUPPLYTIME 2017</w:t>
      </w:r>
    </w:p>
    <w:p>
      <w:pPr>
        <w:spacing w:before="600"/>
      </w:pPr>
    </w:p>
    <w:p>
      <w:pPr>
        <w:jc w:val="center"/>
      </w:pPr>
      <w:r>
        <w:rPr>
          <w:rFonts w:ascii="Arial" w:cs="Arial" w:eastAsia="Arial" w:hAnsi="Arial"/>
          <w:color w:val="333333"/>
          <w:sz w:val="20"/>
          <w:szCs w:val="20"/>
        </w:rPr>
        <w:t xml:space="preserve">Contract Ref: SCT-19LT-PJC-LA-007 / OLCOF24-ALS086</w:t>
      </w:r>
    </w:p>
    <w:p>
      <w:pPr>
        <w:spacing w:after="100"/>
        <w:jc w:val="center"/>
      </w:pPr>
      <w:r>
        <w:rPr>
          <w:rFonts w:ascii="Arial" w:cs="Arial" w:eastAsia="Arial" w:hAnsi="Arial"/>
          <w:color w:val="333333"/>
          <w:sz w:val="20"/>
          <w:szCs w:val="20"/>
        </w:rPr>
        <w:t xml:space="preserve">Owner: ADNOC Logistics &amp; Services  |  Charterer: Samsung C&amp;T Corporation</w:t>
      </w:r>
    </w:p>
    <w:p>
      <w:pPr>
        <w:spacing w:after="100"/>
        <w:jc w:val="center"/>
      </w:pPr>
      <w:r>
        <w:rPr>
          <w:rFonts w:ascii="Arial" w:cs="Arial" w:eastAsia="Arial" w:hAnsi="Arial"/>
          <w:color w:val="333333"/>
          <w:sz w:val="20"/>
          <w:szCs w:val="20"/>
        </w:rPr>
        <w:t xml:space="preserve">Project: INDEPENDENT SUBSEA HVDC SYSTEM PHS 1</w:t>
      </w:r>
    </w:p>
    <w:p>
      <w:pPr>
        <w:spacing w:before="400"/>
      </w:pPr>
    </w:p>
    <w:p>
      <w:pPr>
        <w:jc w:val="center"/>
      </w:pPr>
      <w:r>
        <w:rPr>
          <w:rFonts w:ascii="Arial" w:cs="Arial" w:eastAsia="Arial" w:hAnsi="Arial"/>
          <w:b/>
          <w:bCs/>
          <w:color w:val="333333"/>
          <w:sz w:val="22"/>
          <w:szCs w:val="22"/>
        </w:rPr>
        <w:t xml:space="preserve">Report Date: 9 March 2026</w:t>
      </w:r>
    </w:p>
    <w:p>
      <w:pPr>
        <w:spacing w:after="100"/>
        <w:jc w:val="center"/>
      </w:pPr>
      <w:r>
        <w:rPr>
          <w:rFonts w:ascii="Arial" w:cs="Arial" w:eastAsia="Arial" w:hAnsi="Arial"/>
          <w:color w:val="C00000"/>
          <w:sz w:val="20"/>
          <w:szCs w:val="20"/>
        </w:rPr>
        <w:t xml:space="preserve">Standby Period: 28 February 2026 ~ Ongoing</w:t>
      </w:r>
    </w:p>
    <w:p>
      <w:pPr>
        <w:sectPr>
          <w:pgSz w:w="12240" w:h="15840" w:orient="portrait"/>
          <w:pgMar w:top="1440" w:right="1440" w:bottom="1440" w:left="1440" w:header="708" w:footer="708" w:gutter="0"/>
          <w:pgNumType/>
          <w:docGrid w:linePitch="360"/>
        </w:sectPr>
      </w:pPr>
    </w:p>
    <w:p>
      <w:pPr>
        <w:pStyle w:val="Heading1"/>
        <w:spacing w:after="120" w:before="240"/>
      </w:pPr>
      <w:r>
        <w:rPr>
          <w:rFonts w:ascii="Arial" w:cs="Arial" w:eastAsia="Arial" w:hAnsi="Arial"/>
          <w:b/>
          <w:bCs/>
          <w:color w:val="1F3864"/>
        </w:rPr>
        <w:t xml:space="preserve">1. Executive Summary</w:t>
      </w:r>
    </w:p>
    <w:p>
      <w:pPr>
        <w:spacing w:after="120"/>
      </w:pPr>
      <w:r>
        <w:rPr>
          <w:rFonts w:ascii="Arial" w:cs="Arial" w:eastAsia="Arial" w:hAnsi="Arial"/>
          <w:b w:val="false"/>
          <w:bCs w:val="false"/>
          <w:i w:val="false"/>
          <w:iCs w:val="false"/>
          <w:color w:val="333333"/>
          <w:sz w:val="20"/>
          <w:szCs w:val="20"/>
        </w:rPr>
        <w:t xml:space="preserve">JOPETWIL 71 has been on standby at Jopetwil Jetty, Mussafah since 28 February 2026 due to a tripartite bottleneck: (1) AGI Harbour Master cast-off restriction, (2) adverse weather preventing passenger transit, and (3) mainland MZ berth occupation. Under the SUPPLYTIME 2017 charter party, the vessel remains fully on-hire throughout this standby period.</w:t>
      </w:r>
    </w:p>
    <w:p>
      <w:pPr>
        <w:spacing w:after="120"/>
      </w:pPr>
      <w:r>
        <w:rPr>
          <w:rFonts w:ascii="Arial" w:cs="Arial" w:eastAsia="Arial" w:hAnsi="Arial"/>
          <w:b/>
          <w:bCs/>
          <w:color w:val="C00000"/>
          <w:sz w:val="20"/>
          <w:szCs w:val="20"/>
        </w:rPr>
        <w:t xml:space="preserve">Key Finding: </w:t>
      </w:r>
      <w:r>
        <w:rPr>
          <w:rFonts w:ascii="Arial" w:cs="Arial" w:eastAsia="Arial" w:hAnsi="Arial"/>
          <w:color w:val="333333"/>
          <w:sz w:val="20"/>
          <w:szCs w:val="20"/>
        </w:rPr>
        <w:t xml:space="preserve">The contractual daily hire of US$ 12,000/day (per Amendment No.1) continues to accrue during standby. Off-hire is NOT triggered because the delay stems from external port control, weather, and berth constraints – none of which constitute Owner-side vessel deficiency under Clause 13.</w:t>
      </w:r>
    </w:p>
    <w:p>
      <w:pPr>
        <w:spacing w:after="120"/>
      </w:pPr>
      <w:r>
        <w:rPr>
          <w:rFonts w:ascii="Arial" w:cs="Arial" w:eastAsia="Arial" w:hAnsi="Arial"/>
          <w:b/>
          <w:bCs/>
          <w:color w:val="FF8C00"/>
          <w:sz w:val="20"/>
          <w:szCs w:val="20"/>
        </w:rPr>
        <w:t xml:space="preserve">Compensation Prospect: </w:t>
      </w:r>
      <w:r>
        <w:rPr>
          <w:rFonts w:ascii="Arial" w:cs="Arial" w:eastAsia="Arial" w:hAnsi="Arial"/>
          <w:color w:val="333333"/>
          <w:sz w:val="20"/>
          <w:szCs w:val="20"/>
        </w:rPr>
        <w:t xml:space="preserve">Claiming operational losses against the Owner (ADNOC L&amp;S) is contractually weak. The charter excludes loss of use, business interruption, and increased cost of working. The viable commercial lever is Clause 33 lay-up/reduced hire and UAE Civil Code Art. 249 hardship negotiation.</w:t>
      </w:r>
    </w:p>
    <w:p>
      <w:pPr>
        <w:pStyle w:val="Heading1"/>
        <w:spacing w:after="120" w:before="240"/>
      </w:pPr>
      <w:r>
        <w:rPr>
          <w:rFonts w:ascii="Arial" w:cs="Arial" w:eastAsia="Arial" w:hAnsi="Arial"/>
          <w:b/>
          <w:bCs/>
          <w:color w:val="1F3864"/>
        </w:rPr>
        <w:t xml:space="preserve">2. Applicable Charter Hire Rate</w:t>
      </w:r>
    </w:p>
    <w:p>
      <w:pPr>
        <w:spacing w:after="120"/>
      </w:pPr>
      <w:r>
        <w:rPr>
          <w:rFonts w:ascii="Arial" w:cs="Arial" w:eastAsia="Arial" w:hAnsi="Arial"/>
          <w:b w:val="false"/>
          <w:bCs w:val="false"/>
          <w:i w:val="false"/>
          <w:iCs w:val="false"/>
          <w:color w:val="333333"/>
          <w:sz w:val="20"/>
          <w:szCs w:val="20"/>
        </w:rPr>
        <w:t xml:space="preserve">The contract has undergone multiple amendments. The following rate history applies: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80"/>
        <w:gridCol w:w="2200"/>
      </w:tblGrid>
      <w:tr>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Period</w:t>
            </w:r>
          </w:p>
        </w:tc>
        <w:tc>
          <w:tcPr>
            <w:tcW w:type="dxa" w:w="2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Amendment</w:t>
            </w:r>
          </w:p>
        </w:tc>
        <w:tc>
          <w:tcPr>
            <w:tcW w:type="dxa" w:w="1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Daily Rate</w:t>
            </w:r>
          </w:p>
        </w:tc>
        <w:tc>
          <w:tcPr>
            <w:tcW w:type="dxa" w:w="16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Currency</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Jul 2024 – Jan 2025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Original Contract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10,000</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Excl. consumables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Jan 2025 – Mar 2026</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Amendment No. 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bCs/>
                <w:color w:val="333333"/>
                <w:sz w:val="18"/>
                <w:szCs w:val="18"/>
              </w:rPr>
              <w:t xml:space="preserve">12,000</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Enhanced capacity 800MT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05 Mar – 31 Mar 2026</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Amendment No. 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bCs/>
                <w:color w:val="333333"/>
                <w:sz w:val="18"/>
                <w:szCs w:val="18"/>
              </w:rPr>
              <w:t xml:space="preserve">12,000</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"Same as Amd No.1"</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sz w:val="20"/>
          <w:szCs w:val="20"/>
        </w:rPr>
        <w:t xml:space="preserve">Exchange Rate: </w:t>
      </w:r>
      <w:r>
        <w:rPr>
          <w:rFonts w:ascii="Arial" w:cs="Arial" w:eastAsia="Arial" w:hAnsi="Arial"/>
          <w:sz w:val="20"/>
          <w:szCs w:val="20"/>
        </w:rPr>
        <w:t xml:space="preserve">USD 1 = AED 3.6725 (contractual). AED equivalent = AED 44,070/day.</w:t>
      </w:r>
    </w:p>
    <w:p>
      <w:pPr>
        <w:spacing w:after="120"/>
      </w:pPr>
      <w:r>
        <w:rPr>
          <w:rFonts w:ascii="Arial" w:cs="Arial" w:eastAsia="Arial" w:hAnsi="Arial"/>
          <w:b/>
          <w:bCs/>
          <w:sz w:val="20"/>
          <w:szCs w:val="20"/>
        </w:rPr>
        <w:t xml:space="preserve">VAT: </w:t>
      </w:r>
      <w:r>
        <w:rPr>
          <w:rFonts w:ascii="Arial" w:cs="Arial" w:eastAsia="Arial" w:hAnsi="Arial"/>
          <w:sz w:val="20"/>
          <w:szCs w:val="20"/>
        </w:rPr>
        <w:t xml:space="preserve">5% applicable per contract. Gross daily = US$ 12,600 / AED 46,273.50.</w:t>
      </w:r>
    </w:p>
    <w:p>
      <w:pPr>
        <w:pStyle w:val="Heading1"/>
        <w:spacing w:after="120" w:before="240"/>
      </w:pPr>
      <w:r>
        <w:rPr>
          <w:rFonts w:ascii="Arial" w:cs="Arial" w:eastAsia="Arial" w:hAnsi="Arial"/>
          <w:b/>
          <w:bCs/>
          <w:color w:val="1F3864"/>
        </w:rPr>
        <w:t xml:space="preserve">3. Standby Charter Hire Calculation</w:t>
      </w:r>
    </w:p>
    <w:p>
      <w:pPr>
        <w:spacing w:after="120"/>
      </w:pPr>
      <w:r>
        <w:rPr>
          <w:rFonts w:ascii="Arial" w:cs="Arial" w:eastAsia="Arial" w:hAnsi="Arial"/>
          <w:b w:val="false"/>
          <w:bCs w:val="false"/>
          <w:i w:val="false"/>
          <w:iCs w:val="false"/>
          <w:color w:val="333333"/>
          <w:sz w:val="20"/>
          <w:szCs w:val="20"/>
        </w:rPr>
        <w:t xml:space="preserve">Based on Decklog evidence, JOPETWIL 71 has been at Jopetwil Jetty on standby since 02 March 2026 (returned from Zakum SE Anchorage at 00:45). The following scenarios apply: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800"/>
        <w:gridCol w:w="1280"/>
        <w:gridCol w:w="1800"/>
        <w:gridCol w:w="1500"/>
      </w:tblGrid>
      <w:tr>
        <w:tc>
          <w:tcPr>
            <w:tcW w:type="dxa" w:w="2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9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Days</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Hire (USD)</w:t>
            </w:r>
          </w:p>
        </w:tc>
        <w:tc>
          <w:tcPr>
            <w:tcW w:type="dxa" w:w="12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VAT 5%</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 (USD)</w:t>
            </w:r>
          </w:p>
        </w:tc>
        <w:tc>
          <w:tcPr>
            <w:tcW w:type="dxa" w:w="1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 (AED)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28 Feb – 09 Mar (today)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120,000</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6,000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bCs/>
                <w:color w:val="C00000"/>
                <w:sz w:val="18"/>
                <w:szCs w:val="18"/>
              </w:rPr>
              <w:t xml:space="preserve">126,000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462,735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 Feb – 15 Mar (short)</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192,000</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9,600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201,600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740,376</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 Feb – 31 Mar (full ext.)</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32</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384,000</w:t>
            </w:r>
          </w:p>
        </w:tc>
        <w:tc>
          <w:tcPr>
            <w:tcW w:type="dxa" w:w="12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19,200</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bCs/>
                <w:color w:val="C00000"/>
                <w:sz w:val="18"/>
                <w:szCs w:val="18"/>
              </w:rPr>
              <w:t xml:space="preserve">403,200</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1,480,752</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05 Mar – 31 Mar (Amd5 only)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27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324,000</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16,200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340,200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1,249,385</w:t>
            </w:r>
          </w:p>
        </w:tc>
      </w:tr>
    </w:tbl>
    <w:p>
      <w:pPr>
        <w:spacing w:after="120"/>
      </w:pPr>
      <w:r>
        <w:rPr>
          <w:rFonts w:ascii="Arial" w:cs="Arial" w:eastAsia="Arial" w:hAnsi="Arial"/>
          <w:b w:val="false"/>
          <w:bCs w:val="false"/>
          <w:i/>
          <w:iCs/>
          <w:color w:val="333333"/>
          <w:sz w:val="18"/>
          <w:szCs w:val="18"/>
        </w:rPr>
        <w:t xml:space="preserve">Note: Above is Charter Hire ONLY. Fuel (MGO), water, port dues, agency, pilotage, meals (US$15/meal/person), accommodation (US$15/person/bunk) are separate Charterer obligations.</w:t>
      </w:r>
    </w:p>
    <w:p>
      <w:pPr>
        <w:pStyle w:val="Heading1"/>
        <w:spacing w:after="120" w:before="240"/>
      </w:pPr>
      <w:r>
        <w:rPr>
          <w:rFonts w:ascii="Arial" w:cs="Arial" w:eastAsia="Arial" w:hAnsi="Arial"/>
          <w:b/>
          <w:bCs/>
          <w:color w:val="1F3864"/>
        </w:rPr>
        <w:t xml:space="preserve">4. Decklog Evidence – Standby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5580"/>
        <w:gridCol w:w="3000"/>
      </w:tblGrid>
      <w:tr>
        <w:tc>
          <w:tcPr>
            <w:tcW w:type="dxa" w:w="1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55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Activity (from Decklog)</w:t>
            </w:r>
          </w:p>
        </w:tc>
        <w:tc>
          <w:tcPr>
            <w:tcW w:type="dxa" w:w="3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 Feb</w:t>
            </w:r>
          </w:p>
        </w:tc>
        <w:tc>
          <w:tcPr>
            <w:tcW w:type="dxa" w:w="5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Vessel underway to Al Ghallan Island; clear New Musaffah Channel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C00000"/>
                <w:sz w:val="18"/>
                <w:szCs w:val="18"/>
              </w:rPr>
              <w:t xml:space="preserve">Transit</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 Mar</w:t>
            </w:r>
          </w:p>
        </w:tc>
        <w:tc>
          <w:tcPr>
            <w:tcW w:type="dxa" w:w="5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Vessel at Zakum SE Anchorage waiting Al Ghallan call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C00000"/>
                <w:sz w:val="18"/>
                <w:szCs w:val="18"/>
              </w:rPr>
              <w:t xml:space="preserve">Anchorage Standby</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02 Mar</w:t>
            </w:r>
          </w:p>
        </w:tc>
        <w:tc>
          <w:tcPr>
            <w:tcW w:type="dxa" w:w="5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Vessel returned; secured at Jopetwil Jetty at 00:45</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C00000"/>
                <w:sz w:val="18"/>
                <w:szCs w:val="18"/>
              </w:rPr>
              <w:t xml:space="preserve">Jetty Standby</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03 Mar</w:t>
            </w:r>
          </w:p>
        </w:tc>
        <w:tc>
          <w:tcPr>
            <w:tcW w:type="dxa" w:w="5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Vessel at Jopetwil Jetty waiting on weather</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C00000"/>
                <w:sz w:val="18"/>
                <w:szCs w:val="18"/>
              </w:rPr>
              <w:t xml:space="preserve">Weather Hold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04 Mar</w:t>
            </w:r>
          </w:p>
        </w:tc>
        <w:tc>
          <w:tcPr>
            <w:tcW w:type="dxa" w:w="5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Vessel at Jopetwil Jetty waiting on weather</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C00000"/>
                <w:sz w:val="18"/>
                <w:szCs w:val="18"/>
              </w:rPr>
              <w:t xml:space="preserve">Weather Hold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05 Mar</w:t>
            </w:r>
          </w:p>
        </w:tc>
        <w:tc>
          <w:tcPr>
            <w:tcW w:type="dxa" w:w="5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Vessel at Jopetwil Jetty waiting on weather</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C00000"/>
                <w:sz w:val="18"/>
                <w:szCs w:val="18"/>
              </w:rPr>
              <w:t xml:space="preserve">Weather Hold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06 Mar</w:t>
            </w:r>
          </w:p>
        </w:tc>
        <w:tc>
          <w:tcPr>
            <w:tcW w:type="dxa" w:w="5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Vessel at Jopetwil Jetty waiting on weather</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C00000"/>
                <w:sz w:val="18"/>
                <w:szCs w:val="18"/>
              </w:rPr>
              <w:t xml:space="preserve">Weather Hold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07 Mar</w:t>
            </w:r>
          </w:p>
        </w:tc>
        <w:tc>
          <w:tcPr>
            <w:tcW w:type="dxa" w:w="5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Vessel at Jopetwil Jetty waiting on weather; 8:00 start receiving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C00000"/>
                <w:sz w:val="18"/>
                <w:szCs w:val="18"/>
              </w:rPr>
              <w:t xml:space="preserve">Weather Hold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08 Mar</w:t>
            </w:r>
          </w:p>
        </w:tc>
        <w:tc>
          <w:tcPr>
            <w:tcW w:type="dxa" w:w="5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Vessel at Jopetwil Jetty waiting instruction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C00000"/>
                <w:sz w:val="18"/>
                <w:szCs w:val="18"/>
              </w:rPr>
              <w:t xml:space="preserve">Instruction Hold</w:t>
            </w:r>
          </w:p>
        </w:tc>
      </w:tr>
    </w:tbl>
    <w:p>
      <w:pPr>
        <w:pStyle w:val="Heading1"/>
        <w:spacing w:after="120" w:before="240"/>
      </w:pPr>
      <w:r>
        <w:rPr>
          <w:rFonts w:ascii="Arial" w:cs="Arial" w:eastAsia="Arial" w:hAnsi="Arial"/>
          <w:b/>
          <w:bCs/>
          <w:color w:val="1F3864"/>
        </w:rPr>
        <w:t xml:space="preserve">5. Contractual Analysis – On-Hire / Off-Hire / Force Majeure</w:t>
      </w:r>
    </w:p>
    <w:p>
      <w:pPr>
        <w:pStyle w:val="Heading2"/>
        <w:spacing w:after="120" w:before="240"/>
      </w:pPr>
      <w:r>
        <w:rPr>
          <w:rFonts w:ascii="Arial" w:cs="Arial" w:eastAsia="Arial" w:hAnsi="Arial"/>
          <w:b/>
          <w:bCs/>
          <w:color w:val="1F3864"/>
        </w:rPr>
        <w:t xml:space="preserve">5.1 Off-Hire (Clause 13) – NOT Triggered</w:t>
      </w:r>
    </w:p>
    <w:p>
      <w:pPr>
        <w:spacing w:after="120"/>
      </w:pPr>
      <w:r>
        <w:rPr>
          <w:rFonts w:ascii="Arial" w:cs="Arial" w:eastAsia="Arial" w:hAnsi="Arial"/>
          <w:b w:val="false"/>
          <w:bCs w:val="false"/>
          <w:i w:val="false"/>
          <w:iCs w:val="false"/>
          <w:color w:val="333333"/>
          <w:sz w:val="20"/>
          <w:szCs w:val="20"/>
        </w:rPr>
        <w:t xml:space="preserve">Clause 13(a) limits off-hire to Owner-side deficiencies: crew shortage, machinery breakdown, hull damage. The current standby is caused by external factors (port authority control, weather, berth congestion), which are explicitly EXCEPTED from off-hire:</w:t>
      </w:r>
    </w:p>
    <w:p>
      <w:pPr>
        <w:pStyle w:val="ListParagraph"/>
        <w:numPr>
          <w:ilvl w:val="0"/>
          <w:numId w:val="2"/>
        </w:numPr>
        <w:spacing w:after="80"/>
      </w:pPr>
      <w:r>
        <w:rPr>
          <w:rFonts w:ascii="Arial" w:cs="Arial" w:eastAsia="Arial" w:hAnsi="Arial"/>
          <w:color w:val="333333"/>
          <w:sz w:val="20"/>
          <w:szCs w:val="20"/>
        </w:rPr>
        <w:t xml:space="preserve">Cl. 13(a)(iv): "stress of weather" detention – hire continues, cost on Charterer</w:t>
      </w:r>
    </w:p>
    <w:p>
      <w:pPr>
        <w:pStyle w:val="ListParagraph"/>
        <w:numPr>
          <w:ilvl w:val="0"/>
          <w:numId w:val="2"/>
        </w:numPr>
        <w:spacing w:after="80"/>
      </w:pPr>
      <w:r>
        <w:rPr>
          <w:rFonts w:ascii="Arial" w:cs="Arial" w:eastAsia="Arial" w:hAnsi="Arial"/>
          <w:color w:val="333333"/>
          <w:sz w:val="20"/>
          <w:szCs w:val="20"/>
        </w:rPr>
        <w:t xml:space="preserve">Cl. 13(a)(vi): Charterer-side factors (berth arrangement is Samsung responsibility)</w:t>
      </w:r>
    </w:p>
    <w:p>
      <w:pPr>
        <w:pStyle w:val="ListParagraph"/>
        <w:numPr>
          <w:ilvl w:val="0"/>
          <w:numId w:val="2"/>
        </w:numPr>
        <w:spacing w:after="80"/>
      </w:pPr>
      <w:r>
        <w:rPr>
          <w:rFonts w:ascii="Arial" w:cs="Arial" w:eastAsia="Arial" w:hAnsi="Arial"/>
          <w:color w:val="333333"/>
          <w:sz w:val="20"/>
          <w:szCs w:val="20"/>
        </w:rPr>
        <w:t xml:space="preserve">Box 17: Authority approval charges – all on Charterer</w:t>
      </w:r>
    </w:p>
    <w:p>
      <w:pPr>
        <w:spacing w:after="120"/>
      </w:pPr>
      <w:r>
        <w:rPr>
          <w:rFonts w:ascii="Arial" w:cs="Arial" w:eastAsia="Arial" w:hAnsi="Arial"/>
          <w:b/>
          <w:bCs/>
          <w:color w:val="C00000"/>
          <w:sz w:val="20"/>
          <w:szCs w:val="20"/>
        </w:rPr>
        <w:t xml:space="preserve">Conclusion: </w:t>
      </w:r>
      <w:r>
        <w:rPr>
          <w:rFonts w:ascii="Arial" w:cs="Arial" w:eastAsia="Arial" w:hAnsi="Arial"/>
          <w:sz w:val="20"/>
          <w:szCs w:val="20"/>
        </w:rPr>
        <w:t xml:space="preserve">The vessel is ON-HIRE. Daily US$ 12,000 accrues continuously.</w:t>
      </w:r>
    </w:p>
    <w:p>
      <w:pPr>
        <w:pStyle w:val="Heading2"/>
        <w:spacing w:after="120" w:before="240"/>
      </w:pPr>
      <w:r>
        <w:rPr>
          <w:rFonts w:ascii="Arial" w:cs="Arial" w:eastAsia="Arial" w:hAnsi="Arial"/>
          <w:b/>
          <w:bCs/>
          <w:color w:val="1F3864"/>
        </w:rPr>
        <w:t xml:space="preserve">5.2 Force Majeure (Clause 35) – Shield Only, Not Hire Suspension</w:t>
      </w:r>
    </w:p>
    <w:p>
      <w:pPr>
        <w:spacing w:after="120"/>
      </w:pPr>
      <w:r>
        <w:rPr>
          <w:rFonts w:ascii="Arial" w:cs="Arial" w:eastAsia="Arial" w:hAnsi="Arial"/>
          <w:b w:val="false"/>
          <w:bCs w:val="false"/>
          <w:i w:val="false"/>
          <w:iCs w:val="false"/>
          <w:color w:val="333333"/>
          <w:sz w:val="20"/>
          <w:szCs w:val="20"/>
        </w:rPr>
        <w:t xml:space="preserve">The Iran-related geopolitical crisis qualifies as Force Majeure (war, government control, blockade). However, Clause 35 only exempts non-performance liability – it does NOT suspend hire payment obligations. The hire meter continues running unless the vessel is lost or destroyed.</w:t>
      </w:r>
    </w:p>
    <w:p>
      <w:pPr>
        <w:pStyle w:val="ListParagraph"/>
        <w:numPr>
          <w:ilvl w:val="0"/>
          <w:numId w:val="2"/>
        </w:numPr>
        <w:spacing w:after="80"/>
      </w:pPr>
      <w:r>
        <w:rPr>
          <w:rFonts w:ascii="Arial" w:cs="Arial" w:eastAsia="Arial" w:hAnsi="Arial"/>
          <w:color w:val="333333"/>
          <w:sz w:val="20"/>
          <w:szCs w:val="20"/>
        </w:rPr>
        <w:t xml:space="preserve">FM is a defense against damage claims, not a hire-cessation mechanism</w:t>
      </w:r>
    </w:p>
    <w:p>
      <w:pPr>
        <w:pStyle w:val="ListParagraph"/>
        <w:numPr>
          <w:ilvl w:val="0"/>
          <w:numId w:val="2"/>
        </w:numPr>
        <w:spacing w:after="80"/>
      </w:pPr>
      <w:r>
        <w:rPr>
          <w:rFonts w:ascii="Arial" w:cs="Arial" w:eastAsia="Arial" w:hAnsi="Arial"/>
          <w:color w:val="333333"/>
          <w:sz w:val="20"/>
          <w:szCs w:val="20"/>
        </w:rPr>
        <w:t xml:space="preserve">5-day notice requirement applies – Samsung must issue FM notice ASAP</w:t>
      </w:r>
    </w:p>
    <w:p>
      <w:pPr>
        <w:pStyle w:val="ListParagraph"/>
        <w:numPr>
          <w:ilvl w:val="0"/>
          <w:numId w:val="2"/>
        </w:numPr>
        <w:spacing w:after="80"/>
      </w:pPr>
      <w:r>
        <w:rPr>
          <w:rFonts w:ascii="Arial" w:cs="Arial" w:eastAsia="Arial" w:hAnsi="Arial"/>
          <w:color w:val="333333"/>
          <w:sz w:val="20"/>
          <w:szCs w:val="20"/>
        </w:rPr>
        <w:t xml:space="preserve">UAE Civil Code Art. 249 (hardship) may provide negotiation leverage for rate reduction</w:t>
      </w:r>
    </w:p>
    <w:p>
      <w:pPr>
        <w:pStyle w:val="Heading2"/>
        <w:spacing w:after="120" w:before="240"/>
      </w:pPr>
      <w:r>
        <w:rPr>
          <w:rFonts w:ascii="Arial" w:cs="Arial" w:eastAsia="Arial" w:hAnsi="Arial"/>
          <w:b/>
          <w:bCs/>
          <w:color w:val="1F3864"/>
        </w:rPr>
        <w:t xml:space="preserve">5.3 War Risks (Clause 22 – CONWARTIME 2013)</w:t>
      </w:r>
    </w:p>
    <w:p>
      <w:pPr>
        <w:spacing w:after="120"/>
      </w:pPr>
      <w:r>
        <w:rPr>
          <w:rFonts w:ascii="Arial" w:cs="Arial" w:eastAsia="Arial" w:hAnsi="Arial"/>
          <w:b w:val="false"/>
          <w:bCs w:val="false"/>
          <w:i w:val="false"/>
          <w:iCs w:val="false"/>
          <w:color w:val="333333"/>
          <w:sz w:val="20"/>
          <w:szCs w:val="20"/>
        </w:rPr>
        <w:t xml:space="preserve">The Ship Master has the right to refuse navigation to areas posing war risk. The current Jopetwil Jetty standby is legally justified under CONWARTIME provisions. Forcing the vessel to AGI could trigger Additional War Risk Premium (AWRP) payable 100% by Charterer.</w:t>
      </w:r>
    </w:p>
    <w:p>
      <w:pPr>
        <w:pStyle w:val="Heading2"/>
        <w:spacing w:after="120" w:before="240"/>
      </w:pPr>
      <w:r>
        <w:rPr>
          <w:rFonts w:ascii="Arial" w:cs="Arial" w:eastAsia="Arial" w:hAnsi="Arial"/>
          <w:b/>
          <w:bCs/>
          <w:color w:val="1F3864"/>
        </w:rPr>
        <w:t xml:space="preserve">5.4 Excluded Losses (Clause 18)</w:t>
      </w:r>
    </w:p>
    <w:p>
      <w:pPr>
        <w:spacing w:after="120"/>
      </w:pPr>
      <w:r>
        <w:rPr>
          <w:rFonts w:ascii="Arial" w:cs="Arial" w:eastAsia="Arial" w:hAnsi="Arial"/>
          <w:b w:val="false"/>
          <w:bCs w:val="false"/>
          <w:i w:val="false"/>
          <w:iCs w:val="false"/>
          <w:color w:val="333333"/>
          <w:sz w:val="20"/>
          <w:szCs w:val="20"/>
        </w:rPr>
        <w:t xml:space="preserve">The contract mutually excludes: loss of use, loss of profits, business interruption, increased cost of working, and all consequential/indirect losses. This means Samsung cannot claim "operational losses" against ADNOC L&amp;S for the standby period.</w:t>
      </w:r>
    </w:p>
    <w:p>
      <w:pPr>
        <w:pStyle w:val="Heading1"/>
        <w:spacing w:after="120" w:before="240"/>
      </w:pPr>
      <w:r>
        <w:rPr>
          <w:rFonts w:ascii="Arial" w:cs="Arial" w:eastAsia="Arial" w:hAnsi="Arial"/>
          <w:b/>
          <w:bCs/>
          <w:color w:val="1F3864"/>
        </w:rPr>
        <w:t xml:space="preserve">6. Compensation &amp; Cost Mitigation Options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3180"/>
        <w:gridCol w:w="2000"/>
        <w:gridCol w:w="2000"/>
      </w:tblGrid>
      <w:tr>
        <w:tc>
          <w:tcPr>
            <w:tcW w:type="dxa" w:w="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3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Option</w:t>
            </w:r>
          </w:p>
        </w:tc>
        <w:tc>
          <w:tcPr>
            <w:tcW w:type="dxa" w:w="31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Mechanism</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Prospect</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A</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Clause 33 Lay-Up</w:t>
            </w:r>
          </w:p>
        </w:tc>
        <w:tc>
          <w:tcPr>
            <w:tcW w:type="dxa" w:w="3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Request reduced hire via lay-up procedure. Owner provides quote; hire transitions to reduced rate upon commencement.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007A33"/>
                <w:sz w:val="18"/>
                <w:szCs w:val="18"/>
              </w:rPr>
              <w:t xml:space="preserve">STRONG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Lay-up/reactivation costs on Charterer; 30-day reactivation notice</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B</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Commercial Standby Rate</w:t>
            </w:r>
          </w:p>
        </w:tc>
        <w:tc>
          <w:tcPr>
            <w:tcW w:type="dxa" w:w="3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Negotiate 50–70% reduced standby rate invoking UAE Civil Code Art. 249 hardship principle and pain-sharing.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FF8C00"/>
                <w:sz w:val="18"/>
                <w:szCs w:val="18"/>
              </w:rPr>
              <w:t xml:space="preserve">MODERATE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contractual entitlement; depends on commercial relationship</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Upstream Claim</w:t>
            </w:r>
          </w:p>
        </w:tc>
        <w:tc>
          <w:tcPr>
            <w:tcW w:type="dxa" w:w="3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Package standby costs as delay claim against MC Control / ADNOC / project counterparty under separate EPC/project contract.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FF8C00"/>
                <w:sz w:val="18"/>
                <w:szCs w:val="18"/>
              </w:rPr>
              <w:t xml:space="preserve">MODERATE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Requires separate contract provisions; FM defense by counterparty</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Invoice Dispute</w:t>
            </w:r>
          </w:p>
        </w:tc>
        <w:tc>
          <w:tcPr>
            <w:tcW w:type="dxa" w:w="3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Challenge on-hire classification; pay undisputed portion only; withhold disputed amount per Cl. 12.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C00000"/>
                <w:sz w:val="18"/>
                <w:szCs w:val="18"/>
              </w:rPr>
              <w:t xml:space="preserve">WEAK</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Must dispute before due date; 1%/month interest on wrongly withheld</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E</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Early Termination</w:t>
            </w:r>
          </w:p>
        </w:tc>
        <w:tc>
          <w:tcPr>
            <w:tcW w:type="dxa" w:w="3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15-day notice + balance hire for remaining period. Only if crisis extends beyond April.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C00000"/>
                <w:sz w:val="18"/>
                <w:szCs w:val="18"/>
              </w:rPr>
              <w:t xml:space="preserve">LAST RESORT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Balance Charter Hire for remaining period is significant exit cost</w:t>
            </w:r>
          </w:p>
        </w:tc>
      </w:tr>
    </w:tbl>
    <w:p>
      <w:pPr>
        <w:pStyle w:val="Heading1"/>
        <w:spacing w:after="120" w:before="240"/>
      </w:pPr>
      <w:r>
        <w:rPr>
          <w:rFonts w:ascii="Arial" w:cs="Arial" w:eastAsia="Arial" w:hAnsi="Arial"/>
          <w:b/>
          <w:bCs/>
          <w:color w:val="1F3864"/>
        </w:rPr>
        <w:t xml:space="preserve">7. Recommended Immediate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080"/>
        <w:gridCol w:w="3000"/>
      </w:tblGrid>
      <w:tr>
        <w:tc>
          <w:tcPr>
            <w:tcW w:type="dxa" w:w="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Timeline</w:t>
            </w:r>
          </w:p>
        </w:tc>
        <w:tc>
          <w:tcPr>
            <w:tcW w:type="dxa" w:w="50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w:t>
            </w:r>
          </w:p>
        </w:tc>
        <w:tc>
          <w:tcPr>
            <w:tcW w:type="dxa" w:w="3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Owner</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C00000"/>
                <w:sz w:val="18"/>
                <w:szCs w:val="18"/>
              </w:rPr>
              <w:t xml:space="preserve">ASAP</w:t>
            </w:r>
          </w:p>
        </w:tc>
        <w:tc>
          <w:tcPr>
            <w:tcW w:type="dxa" w:w="5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Issue FM Notice to ADNOC L&amp;S citing HM restriction, weather hold, Iran crisis (Cl.35 5-day notice)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Legal/PMT</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C00000"/>
                <w:sz w:val="18"/>
                <w:szCs w:val="18"/>
              </w:rPr>
              <w:t xml:space="preserve">ASAP</w:t>
            </w:r>
          </w:p>
        </w:tc>
        <w:tc>
          <w:tcPr>
            <w:tcW w:type="dxa" w:w="5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Issue Clause 33 Lay-Up Request with safe port nomination (Jopetwil Jetty)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Commercial</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C00000"/>
                <w:sz w:val="18"/>
                <w:szCs w:val="18"/>
              </w:rPr>
              <w:t xml:space="preserve">ASAP</w:t>
            </w:r>
          </w:p>
        </w:tc>
        <w:tc>
          <w:tcPr>
            <w:tcW w:type="dxa" w:w="5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Request Amendment No.1 signed rate page from ALS (rate confirmation)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Commercial</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24h</w:t>
            </w:r>
          </w:p>
        </w:tc>
        <w:tc>
          <w:tcPr>
            <w:tcW w:type="dxa" w:w="5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Fix standby evidence: daily position log, HM instructions, weather records, berth status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Operations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24h</w:t>
            </w:r>
          </w:p>
        </w:tc>
        <w:tc>
          <w:tcPr>
            <w:tcW w:type="dxa" w:w="5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Confirm with ALS: current standby treated as on-hire, off-hire, or lay-up?</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Commercial</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24h</w:t>
            </w:r>
          </w:p>
        </w:tc>
        <w:tc>
          <w:tcPr>
            <w:tcW w:type="dxa" w:w="5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Review existing Feb/Mar invoices; file dispute before due date if needed</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Finance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This week</w:t>
            </w:r>
          </w:p>
        </w:tc>
        <w:tc>
          <w:tcPr>
            <w:tcW w:type="dxa" w:w="5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Prepare upstream standby claim package for MC Control / ADNOC project interface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Claims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This week</w:t>
            </w:r>
          </w:p>
        </w:tc>
        <w:tc>
          <w:tcPr>
            <w:tcW w:type="dxa" w:w="5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Run lay-up vs. continue standby vs. early termination cash comparison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Finance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This week</w:t>
            </w:r>
          </w:p>
        </w:tc>
        <w:tc>
          <w:tcPr>
            <w:tcW w:type="dxa" w:w="5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Legal review: excluded losses scope, UAE Art. 249 applicability, ICC arbitration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Legal</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Ongoing</w:t>
            </w:r>
          </w:p>
        </w:tc>
        <w:tc>
          <w:tcPr>
            <w:tcW w:type="dxa" w:w="5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Maintain daily standby cost accrual at US$ 12,000/day + consumables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Finance</w:t>
            </w:r>
          </w:p>
        </w:tc>
      </w:tr>
    </w:tbl>
    <w:p>
      <w:r>
        <w:br w:type="page"/>
      </w:r>
    </w:p>
    <w:p>
      <w:pPr>
        <w:pStyle w:val="Heading1"/>
        <w:spacing w:after="120" w:before="240"/>
      </w:pPr>
      <w:r>
        <w:rPr>
          <w:rFonts w:ascii="Arial" w:cs="Arial" w:eastAsia="Arial" w:hAnsi="Arial"/>
          <w:b/>
          <w:bCs/>
          <w:color w:val="1F3864"/>
        </w:rPr>
        <w:t xml:space="preserve">8. Draft Communication to ADNOC L&amp;S</w:t>
      </w:r>
    </w:p>
    <w:p>
      <w:pPr>
        <w:pStyle w:val="Heading2"/>
        <w:spacing w:after="120" w:before="240"/>
      </w:pPr>
      <w:r>
        <w:rPr>
          <w:rFonts w:ascii="Arial" w:cs="Arial" w:eastAsia="Arial" w:hAnsi="Arial"/>
          <w:b/>
          <w:bCs/>
          <w:color w:val="1F3864"/>
        </w:rPr>
        <w:t xml:space="preserve">Option A – Standard Inquiry</w:t>
      </w:r>
    </w:p>
    <w:p>
      <w:pPr>
        <w:spacing w:after="40"/>
        <w:ind w:left="360"/>
      </w:pPr>
      <w:r>
        <w:rPr>
          <w:rFonts w:ascii="Arial" w:cs="Arial" w:eastAsia="Arial" w:hAnsi="Arial"/>
          <w:b/>
          <w:bCs/>
          <w:i/>
          <w:iCs/>
          <w:sz w:val="20"/>
          <w:szCs w:val="20"/>
        </w:rPr>
        <w:t xml:space="preserve">Subject: JOPETWIL 71 – Confirmation of Applicable Charter Hire and Billing Basis</w:t>
      </w:r>
    </w:p>
    <w:p>
      <w:pPr>
        <w:spacing w:after="80"/>
        <w:ind w:left="360"/>
      </w:pPr>
      <w:r>
        <w:rPr>
          <w:rFonts w:ascii="Arial" w:cs="Arial" w:eastAsia="Arial" w:hAnsi="Arial"/>
          <w:sz w:val="20"/>
          <w:szCs w:val="20"/>
        </w:rPr>
        <w:t xml:space="preserve">Dear ALS team,
We acknowledge Amendment No. 5 extending the charter period from 05 March 2026 until 31 March 2026. Before we finalize the charter cost assessment, please provide: (1) a copy of Amendment No. 1 referenced in Amendment No. 5; (2) the exact applicable daily charter hire for 05–31 March 2026; (3) confirmation whether VAT will be applied; (4) your contractual basis for treating the current delay period as on-hire or off-hire; and (5) a clear breakdown of charges outside charter hire. Pending receipt, our cost assessment remains provisional and all rights are reserved.</w:t>
      </w:r>
    </w:p>
    <w:p>
      <w:pPr>
        <w:pStyle w:val="Heading2"/>
        <w:spacing w:after="120" w:before="240"/>
      </w:pPr>
      <w:r>
        <w:rPr>
          <w:rFonts w:ascii="Arial" w:cs="Arial" w:eastAsia="Arial" w:hAnsi="Arial"/>
          <w:b/>
          <w:bCs/>
          <w:color w:val="1F3864"/>
        </w:rPr>
        <w:t xml:space="preserve">Option B – Firm / Rights Reservation</w:t>
      </w:r>
    </w:p>
    <w:p>
      <w:pPr>
        <w:spacing w:after="80"/>
        <w:ind w:left="360"/>
      </w:pPr>
      <w:r>
        <w:rPr>
          <w:rFonts w:ascii="Arial" w:cs="Arial" w:eastAsia="Arial" w:hAnsi="Arial"/>
          <w:b/>
          <w:bCs/>
          <w:i/>
          <w:iCs/>
          <w:sz w:val="20"/>
          <w:szCs w:val="20"/>
        </w:rPr>
        <w:t xml:space="preserve">Subject: JOPETWIL 71 – Reservation of Rights / Request for Contractual Cost Basis</w:t>
      </w:r>
    </w:p>
    <w:p>
      <w:pPr>
        <w:spacing w:after="80"/>
        <w:ind w:left="360"/>
      </w:pPr>
      <w:r>
        <w:rPr>
          <w:rFonts w:ascii="Arial" w:cs="Arial" w:eastAsia="Arial" w:hAnsi="Arial"/>
          <w:sz w:val="20"/>
          <w:szCs w:val="20"/>
        </w:rPr>
        <w:t xml:space="preserve">Without prejudice and with full reservation of rights, we are unable to confirm the charter cost or any compensation position for the present standby period until the contractual rate basis is fully evidenced. Please provide by return: the signed rate pages of Amendment No. 1 and No. 4, the exact time count applied from 28 February 2026, your written position on on-hire/off-hire/lay-up treatment, and the Clause 33 lay-up proposal if applicable. Pending receipt and review, no acceptance of rate, time count, or liability is given.</w:t>
      </w:r>
    </w:p>
    <w:p>
      <w:pPr>
        <w:pStyle w:val="Heading1"/>
        <w:spacing w:after="120" w:before="240"/>
      </w:pPr>
      <w:r>
        <w:rPr>
          <w:rFonts w:ascii="Arial" w:cs="Arial" w:eastAsia="Arial" w:hAnsi="Arial"/>
          <w:b/>
          <w:bCs/>
          <w:color w:val="1F3864"/>
        </w:rPr>
        <w:t xml:space="preserve">9. Risk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6380"/>
      </w:tblGrid>
      <w:tr>
        <w:tc>
          <w:tcPr>
            <w:tcW w:type="dxa" w:w="2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Score /25</w:t>
            </w:r>
          </w:p>
        </w:tc>
        <w:tc>
          <w:tcPr>
            <w:tcW w:type="dxa" w:w="63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Drivers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Contract Risk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18.75</w:t>
            </w:r>
          </w:p>
        </w:tc>
        <w:tc>
          <w:tcPr>
            <w:tcW w:type="dxa" w:w="6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Early termination = balance hire; excluded losses; Abu Dhabi ICC arbitration</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Cost Impact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18.75</w:t>
            </w:r>
          </w:p>
        </w:tc>
        <w:tc>
          <w:tcPr>
            <w:tcW w:type="dxa" w:w="6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US$12,000/day hire + consumables; 30-day payment; 1%/month interest; VAT 5%</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Schedule Impact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18.75</w:t>
            </w:r>
          </w:p>
        </w:tc>
        <w:tc>
          <w:tcPr>
            <w:tcW w:type="dxa" w:w="6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 Mar expiry; FM 5-day notice; lay-up 7/7/30-day procedure chain</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Operational Impact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18.75</w:t>
            </w:r>
          </w:p>
        </w:tc>
        <w:tc>
          <w:tcPr>
            <w:tcW w:type="dxa" w:w="6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replacement LCT; berthing responsibility on Samsung; safety discretion</w:t>
            </w:r>
          </w:p>
        </w:tc>
      </w:tr>
      <w:tr>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75.00</w:t>
            </w:r>
          </w:p>
        </w:tc>
        <w:tc>
          <w:tcPr>
            <w:tcW w:type="dxa" w:w="63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color w:val="C00000"/>
                <w:sz w:val="18"/>
                <w:szCs w:val="18"/>
              </w:rPr>
              <w:t xml:space="preserve">CRITICAL – Immediate multi-track action required</w:t>
            </w:r>
          </w:p>
        </w:tc>
      </w:tr>
    </w:tbl>
    <w:p>
      <w:pPr>
        <w:spacing w:after="120"/>
      </w:pPr>
      <w:r>
        <w:rPr>
          <w:rFonts w:ascii="Arial" w:cs="Arial" w:eastAsia="Arial" w:hAnsi="Arial"/>
          <w:b w:val="false"/>
          <w:bCs w:val="false"/>
          <w:i w:val="false"/>
          <w:iCs w:val="false"/>
          <w:color w:val="333333"/>
          <w:sz w:val="20"/>
          <w:szCs w:val="20"/>
        </w:rPr>
        <w:t xml:space="preserve"/>
      </w:r>
    </w:p>
    <w:p>
      <w:pPr>
        <w:pBdr>
          <w:top w:val="single" w:color="1F3864" w:sz="2" w:space="8"/>
        </w:pBdr>
        <w:spacing w:after="200"/>
      </w:pPr>
      <w:r>
        <w:rPr>
          <w:rFonts w:ascii="Arial" w:cs="Arial" w:eastAsia="Arial" w:hAnsi="Arial"/>
          <w:b/>
          <w:bCs/>
          <w:color w:val="1F3864"/>
          <w:sz w:val="20"/>
          <w:szCs w:val="20"/>
        </w:rPr>
        <w:t xml:space="preserve">Confidence: 0.86</w:t>
      </w:r>
      <w:r>
        <w:rPr>
          <w:rFonts w:ascii="Arial" w:cs="Arial" w:eastAsia="Arial" w:hAnsi="Arial"/>
          <w:color w:val="333333"/>
          <w:sz w:val="20"/>
          <w:szCs w:val="20"/>
        </w:rPr>
        <w:t xml:space="preserve"> – Amendment No.1 rate confirmed at US$12,000/day; off-hire/FM/excluded losses analysis based on original contract text and SUPPLYTIME 2017 standard clauses. Exact pro-rata timestamp to be confirmed.</w:t>
      </w:r>
    </w:p>
    <w:p>
      <w:pPr>
        <w:spacing w:after="120"/>
      </w:pPr>
      <w:r>
        <w:rPr>
          <w:rFonts w:ascii="Arial" w:cs="Arial" w:eastAsia="Arial" w:hAnsi="Arial"/>
          <w:b w:val="false"/>
          <w:bCs w:val="false"/>
          <w:i w:val="false"/>
          <w:iCs w:val="false"/>
          <w:color w:val="333333"/>
          <w:sz w:val="20"/>
          <w:szCs w:val="20"/>
        </w:rPr>
        <w:t xml:space="preserve"/>
      </w:r>
    </w:p>
    <w:p>
      <w:pPr>
        <w:spacing w:after="80"/>
      </w:pPr>
      <w:r>
        <w:rPr>
          <w:rFonts w:ascii="Arial" w:cs="Arial" w:eastAsia="Arial" w:hAnsi="Arial"/>
          <w:b/>
          <w:bCs/>
          <w:i/>
          <w:iCs/>
          <w:color w:val="888888"/>
          <w:sz w:val="18"/>
          <w:szCs w:val="18"/>
        </w:rPr>
        <w:t xml:space="preserve">Disclaimer: </w:t>
      </w:r>
      <w:r>
        <w:rPr>
          <w:rFonts w:ascii="Arial" w:cs="Arial" w:eastAsia="Arial" w:hAnsi="Arial"/>
          <w:i/>
          <w:iCs/>
          <w:color w:val="888888"/>
          <w:sz w:val="18"/>
          <w:szCs w:val="18"/>
        </w:rPr>
        <w:t xml:space="preserve">This analysis is prepared for internal project management purposes and does not constitute legal advice. All findings should be reviewed by qualified legal counsel before being relied upon in any dispute or negotiation. The analysis is based on contract documents provided as of the report date.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Samsung C&amp;T Corporation – HVDC Project Logistics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2" w:space="4"/>
      </w:pBdr>
      <w:tabs>
        <w:tab w:val="right" w:pos="9026"/>
      </w:tabs>
    </w:pPr>
    <w:r>
      <w:rPr>
        <w:rFonts w:ascii="Arial" w:cs="Arial" w:eastAsia="Arial" w:hAnsi="Arial"/>
        <w:color w:val="888888"/>
        <w:sz w:val="16"/>
        <w:szCs w:val="16"/>
      </w:rPr>
      <w:t xml:space="preserve">JOPETWIL 71 – Charter Cost &amp; Compensation Analysis</w:t>
    </w:r>
    <w:r>
      <w:rPr>
        <w:rFonts w:ascii="Arial" w:cs="Arial" w:eastAsia="Arial" w:hAnsi="Arial"/>
        <w:b/>
        <w:bCs/>
        <w:color w:val="C0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2026-03-09T07:59:25.894Z</dcterms:created>
  <dcterms:modified xsi:type="dcterms:W3CDTF">2026-03-09T07:59:25.894Z</dcterms:modified>
</cp:coreProperties>
</file>

<file path=docProps/custom.xml><?xml version="1.0" encoding="utf-8"?>
<Properties xmlns="http://schemas.openxmlformats.org/officeDocument/2006/custom-properties" xmlns:vt="http://schemas.openxmlformats.org/officeDocument/2006/docPropsVTypes"/>
</file>