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sz w:val="20"/>
          <w:szCs w:val="20"/>
        </w:rPr>
        <w:t xml:space="preserve">Date: 09 March 2026</w:t>
      </w:r>
    </w:p>
    <w:p>
      <w:pPr>
        <w:spacing/>
      </w:pPr>
    </w:p>
    <w:p>
      <w:pPr>
        <w:spacing w:after="120"/>
        <w:jc w:val="left"/>
      </w:pPr>
      <w:r>
        <w:rPr>
          <w:b/>
          <w:bCs/>
          <w:sz w:val="20"/>
          <w:szCs w:val="20"/>
        </w:rPr>
        <w:t xml:space="preserve">Our Ref: </w:t>
      </w:r>
      <w:r>
        <w:rPr>
          <w:sz w:val="20"/>
          <w:szCs w:val="20"/>
        </w:rPr>
        <w:t xml:space="preserve">SCT-HVDC/JPT71/2026-LU-001</w:t>
      </w:r>
    </w:p>
    <w:p>
      <w:pPr>
        <w:spacing w:after="120"/>
        <w:jc w:val="left"/>
      </w:pPr>
      <w:r>
        <w:rPr>
          <w:b/>
          <w:bCs/>
          <w:sz w:val="20"/>
          <w:szCs w:val="20"/>
        </w:rPr>
        <w:t xml:space="preserve">Contract Ref: </w:t>
      </w:r>
      <w:r>
        <w:rPr>
          <w:sz w:val="20"/>
          <w:szCs w:val="20"/>
        </w:rPr>
        <w:t xml:space="preserve">SCT-19LT-PJC-LA-007 / OLCOF24-ALS086</w:t>
      </w:r>
    </w:p>
    <w:p>
      <w:pPr>
        <w:spacing w:after="120"/>
        <w:jc w:val="left"/>
      </w:pPr>
      <w:r>
        <w:rPr>
          <w:b/>
          <w:bCs/>
          <w:sz w:val="20"/>
          <w:szCs w:val="20"/>
        </w:rPr>
        <w:t xml:space="preserve">Amendment: </w:t>
      </w:r>
      <w:r>
        <w:rPr>
          <w:sz w:val="20"/>
          <w:szCs w:val="20"/>
        </w:rPr>
        <w:t xml:space="preserve">No.1 (effective 08 Jan 2025) &amp; No.5 (effective 05 Mar 2026)</w:t>
      </w:r>
    </w:p>
    <w:p>
      <w:pPr>
        <w:spacing/>
      </w:pPr>
    </w:p>
    <w:p>
      <w:pPr>
        <w:spacing w:after="60"/>
        <w:jc w:val="left"/>
      </w:pPr>
      <w:r>
        <w:rPr>
          <w:b/>
          <w:bCs/>
          <w:sz w:val="22"/>
          <w:szCs w:val="22"/>
        </w:rPr>
        <w:t xml:space="preserve">To:</w:t>
      </w:r>
    </w:p>
    <w:p>
      <w:pPr>
        <w:spacing w:after="120"/>
        <w:jc w:val="left"/>
      </w:pPr>
      <w:r>
        <w:rPr>
          <w:b/>
          <w:bCs/>
          <w:sz w:val="22"/>
          <w:szCs w:val="22"/>
        </w:rPr>
        <w:t xml:space="preserve">ADNOC Logistics &amp; Services (ALS)</w:t>
      </w:r>
    </w:p>
    <w:p>
      <w:pPr>
        <w:spacing w:after="120"/>
        <w:jc w:val="left"/>
      </w:pPr>
      <w:r>
        <w:rPr>
          <w:sz w:val="20"/>
          <w:szCs w:val="20"/>
        </w:rPr>
        <w:t xml:space="preserve">Attention: Charter Party Operations / Fleet Management</w:t>
      </w:r>
    </w:p>
    <w:p>
      <w:pPr>
        <w:spacing w:after="120"/>
        <w:jc w:val="left"/>
      </w:pPr>
      <w:r>
        <w:rPr>
          <w:sz w:val="20"/>
          <w:szCs w:val="20"/>
        </w:rPr>
        <w:t xml:space="preserve">P.O. Box 532, Abu Dhabi, United Arab Emirates</w:t>
      </w:r>
    </w:p>
    <w:p>
      <w:pPr>
        <w:spacing/>
      </w:pPr>
    </w:p>
    <w:p>
      <w:pPr>
        <w:spacing w:after="60"/>
        <w:jc w:val="left"/>
      </w:pPr>
      <w:r>
        <w:rPr>
          <w:b/>
          <w:bCs/>
          <w:sz w:val="22"/>
          <w:szCs w:val="22"/>
        </w:rPr>
        <w:t xml:space="preserve">From:</w:t>
      </w:r>
    </w:p>
    <w:p>
      <w:pPr>
        <w:spacing w:after="120"/>
        <w:jc w:val="left"/>
      </w:pPr>
      <w:r>
        <w:rPr>
          <w:b/>
          <w:bCs/>
          <w:sz w:val="22"/>
          <w:szCs w:val="22"/>
        </w:rPr>
        <w:t xml:space="preserve">Samsung C&amp;T Corporation</w:t>
      </w:r>
    </w:p>
    <w:p>
      <w:pPr>
        <w:spacing w:after="120"/>
        <w:jc w:val="left"/>
      </w:pPr>
      <w:r>
        <w:rPr>
          <w:sz w:val="20"/>
          <w:szCs w:val="20"/>
        </w:rPr>
        <w:t xml:space="preserve">EPC Project Division – HVDC Interconnector Project</w:t>
      </w:r>
    </w:p>
    <w:p>
      <w:pPr>
        <w:spacing w:after="120"/>
        <w:jc w:val="left"/>
      </w:pPr>
      <w:r>
        <w:rPr>
          <w:sz w:val="20"/>
          <w:szCs w:val="20"/>
        </w:rPr>
        <w:t xml:space="preserve">Abu Dhabi, United Arab Emirates</w:t>
      </w:r>
    </w:p>
    <w:p>
      <w:pPr>
        <w:spacing/>
      </w:pPr>
    </w:p>
    <w:p>
      <w:pPr>
        <w:shd w:fill="E8F0FE" w:val="clear"/>
        <w:spacing w:after="200" w:before="120"/>
        <w:ind w:left="120" w:right="120"/>
      </w:pPr>
      <w:r>
        <w:rPr>
          <w:b/>
          <w:bCs/>
          <w:color w:val="003366"/>
          <w:sz w:val="24"/>
          <w:szCs w:val="24"/>
        </w:rPr>
        <w:t xml:space="preserve">SUBJECT: </w:t>
      </w:r>
      <w:r>
        <w:rPr>
          <w:b/>
          <w:bCs/>
          <w:color w:val="003366"/>
          <w:sz w:val="24"/>
          <w:szCs w:val="24"/>
        </w:rPr>
        <w:t xml:space="preserve">REQUEST FOR LAY-UP OF VESSEL – CLAUSE 33, SUPPLYTIME 2017</w:t>
      </w:r>
    </w:p>
    <w:p>
      <w:pPr>
        <w:shd w:fill="E8F0FE" w:val="clear"/>
        <w:spacing w:after="200"/>
        <w:ind w:left="120" w:right="120"/>
      </w:pPr>
      <w:r>
        <w:rPr>
          <w:b/>
          <w:bCs/>
          <w:color w:val="003366"/>
          <w:sz w:val="22"/>
          <w:szCs w:val="22"/>
        </w:rPr>
        <w:t xml:space="preserve">Vessel: JOPETWIL 71 (IMO: 9582829)</w:t>
      </w:r>
    </w:p>
    <w:p>
      <w:pPr>
        <w:spacing w:after="200"/>
        <w:jc w:val="left"/>
      </w:pPr>
      <w:r>
        <w:t xml:space="preserve">Dear Sir / Madam,</w:t>
      </w:r>
    </w:p>
    <w:p>
      <w:pPr>
        <w:spacing w:after="200"/>
        <w:jc w:val="left"/>
      </w:pPr>
      <w:r>
        <w:t xml:space="preserve">We refer to the SUPPLYTIME 2017 Time Charter Party for Offshore Support Vessels entered into between </w:t>
      </w:r>
      <w:r>
        <w:rPr>
          <w:b/>
          <w:bCs/>
        </w:rPr>
        <w:t xml:space="preserve">ADNOC Logistics &amp; Services</w:t>
      </w:r>
      <w:r>
        <w:t xml:space="preserve"> (as “Owners”) and </w:t>
      </w:r>
      <w:r>
        <w:rPr>
          <w:b/>
          <w:bCs/>
        </w:rPr>
        <w:t xml:space="preserve">Samsung C&amp;T Corporation</w:t>
      </w:r>
      <w:r>
        <w:t xml:space="preserve"> (as “Charterers”) dated under Contract No. </w:t>
      </w:r>
      <w:r>
        <w:rPr>
          <w:b/>
          <w:bCs/>
        </w:rPr>
        <w:t xml:space="preserve">SCT-19LT-PJC-LA-007 / OLCOF24-ALS086</w:t>
      </w:r>
      <w:r>
        <w:t xml:space="preserve">, as amended by Amendment No.1 (effective 08 January 2025) and Amendment No.5 (effective 05 March 2026) (collectively, the “Charter Party”), in respect of the vessel </w:t>
      </w:r>
      <w:r>
        <w:rPr>
          <w:b/>
          <w:bCs/>
        </w:rPr>
        <w:t xml:space="preserve">JOPETWIL 71 (IMO: 9582829)</w:t>
      </w:r>
      <w:r>
        <w:t xml:space="preserve">.</w:t>
      </w:r>
    </w:p>
    <w:p>
      <w:pPr>
        <w:spacing w:after="120"/>
        <w:jc w:val="left"/>
      </w:pPr>
      <w:r>
        <w:t xml:space="preserve">As you are aware, the Vessel has been on continuous standby at </w:t>
      </w:r>
      <w:r>
        <w:rPr>
          <w:b/>
          <w:bCs/>
        </w:rPr>
        <w:t xml:space="preserve">Jopetwil Jetty, Mussafah, Abu Dhabi</w:t>
      </w:r>
      <w:r>
        <w:t xml:space="preserve"> since </w:t>
      </w:r>
      <w:r>
        <w:rPr>
          <w:b/>
          <w:bCs/>
        </w:rPr>
        <w:t xml:space="preserve">28 February 2026</w:t>
      </w:r>
      <w:r>
        <w:t xml:space="preserve"> due to the following concurrent operational constraints beyond the Charterers’ control:</w:t>
      </w:r>
    </w:p>
    <w:p>
      <w:pPr>
        <w:pStyle w:val="ListParagraph"/>
        <w:numPr>
          <w:ilvl w:val="0"/>
          <w:numId w:val="2"/>
        </w:numPr>
        <w:spacing w:after="80"/>
      </w:pPr>
      <w:r>
        <w:rPr>
          <w:sz w:val="22"/>
          <w:szCs w:val="22"/>
        </w:rPr>
        <w:t xml:space="preserve">AGI Harbour Master cast-off restriction preventing vessel movement from Jetty to AGI berth;</w:t>
      </w:r>
    </w:p>
    <w:p>
      <w:pPr>
        <w:pStyle w:val="ListParagraph"/>
        <w:numPr>
          <w:ilvl w:val="0"/>
          <w:numId w:val="2"/>
        </w:numPr>
        <w:spacing w:after="80"/>
      </w:pPr>
      <w:r>
        <w:rPr>
          <w:sz w:val="22"/>
          <w:szCs w:val="22"/>
        </w:rPr>
        <w:t xml:space="preserve">Adverse weather conditions (sustained winds exceeding safe operational limits);</w:t>
      </w:r>
    </w:p>
    <w:p>
      <w:pPr>
        <w:pStyle w:val="ListParagraph"/>
        <w:numPr>
          <w:ilvl w:val="0"/>
          <w:numId w:val="2"/>
        </w:numPr>
        <w:spacing w:after="80"/>
      </w:pPr>
      <w:r>
        <w:rPr>
          <w:sz w:val="22"/>
          <w:szCs w:val="22"/>
        </w:rPr>
        <w:t xml:space="preserve">MC Control has not confirmed authorisation for AGI Jetty use, pending berth availability (MZ berth occupation by third-party vessel “Bushra”); and</w:t>
      </w:r>
    </w:p>
    <w:p>
      <w:pPr>
        <w:pStyle w:val="ListParagraph"/>
        <w:numPr>
          <w:ilvl w:val="0"/>
          <w:numId w:val="2"/>
        </w:numPr>
        <w:spacing w:after="200"/>
      </w:pPr>
      <w:r>
        <w:rPr>
          <w:sz w:val="22"/>
          <w:szCs w:val="22"/>
        </w:rPr>
        <w:t xml:space="preserve">TR5 cargo readiness delays compounding the operational bottleneck.</w:t>
      </w:r>
    </w:p>
    <w:p>
      <w:pPr>
        <w:spacing w:after="240"/>
        <w:jc w:val="left"/>
      </w:pPr>
      <w:r>
        <w:t xml:space="preserve">In view of the foregoing, and with no foreseeable resolution within the near term, we hereby exercise our option under </w:t>
      </w:r>
      <w:r>
        <w:rPr>
          <w:b/>
          <w:bCs/>
        </w:rPr>
        <w:t xml:space="preserve">Clause 33 of the Charter Party</w:t>
      </w:r>
      <w:r>
        <w:t xml:space="preserve"> and formally notify you of the Charterers’ intention to place the Vessel in lay-up, as detailed below.</w:t>
      </w:r>
    </w:p>
    <w:p>
      <w:pPr>
        <w:pStyle w:val="Heading1"/>
      </w:pPr>
      <w:r>
        <w:t xml:space="preserve">1. Lay-Up Details (Clause 33(a))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003366" w:sz="6"/>
              <w:left w:val="single" w:color="999999" w:sz="1"/>
              <w:bottom w:val="single" w:color="999999" w:sz="1"/>
              <w:right w:val="single" w:color="999999" w:sz="1"/>
            </w:tcBorders>
            <w:shd w:fill="F0F4F8" w:val="clear"/>
            <w:tcMar>
              <w:top w:type="dxa" w:w="80"/>
              <w:left w:type="dxa" w:w="120"/>
              <w:bottom w:type="dxa" w:w="80"/>
              <w:right w:type="dxa" w:w="120"/>
            </w:tcMar>
          </w:tcPr>
          <w:p>
            <w:r>
              <w:rPr>
                <w:b/>
                <w:bCs/>
                <w:sz w:val="20"/>
                <w:szCs w:val="20"/>
              </w:rPr>
              <w:t xml:space="preserve">Vessel</w:t>
            </w:r>
          </w:p>
        </w:tc>
        <w:tc>
          <w:tcPr>
            <w:tcW w:type="dxa" w:w="6306"/>
            <w:tcBorders>
              <w:top w:val="single" w:color="003366" w:sz="6"/>
              <w:left w:val="single" w:color="999999" w:sz="1"/>
              <w:bottom w:val="single" w:color="999999" w:sz="1"/>
              <w:right w:val="single" w:color="999999" w:sz="1"/>
            </w:tcBorders>
            <w:tcMar>
              <w:top w:type="dxa" w:w="80"/>
              <w:left w:type="dxa" w:w="120"/>
              <w:bottom w:type="dxa" w:w="80"/>
              <w:right w:type="dxa" w:w="120"/>
            </w:tcMar>
          </w:tcPr>
          <w:p>
            <w:pPr>
              <w:spacing w:after="40"/>
            </w:pPr>
            <w:r>
              <w:rPr>
                <w:sz w:val="20"/>
                <w:szCs w:val="20"/>
              </w:rPr>
              <w:t xml:space="preserve">JOPETWIL 71 (IMO: 9582829)</w:t>
            </w:r>
          </w:p>
        </w:tc>
      </w:tr>
      <w:tr>
        <w:tc>
          <w:tcPr>
            <w:tcW w:type="dxa" w:w="3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b/>
                <w:bCs/>
                <w:sz w:val="20"/>
                <w:szCs w:val="20"/>
              </w:rPr>
              <w:t xml:space="preserve">Charter Party</w:t>
            </w:r>
          </w:p>
        </w:tc>
        <w:tc>
          <w:tcPr>
            <w:tcW w:type="dxa" w:w="6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sz w:val="20"/>
                <w:szCs w:val="20"/>
              </w:rPr>
              <w:t xml:space="preserve">SCT-19LT-PJC-LA-007 / OLCOF24-ALS086</w:t>
            </w:r>
          </w:p>
          <w:p>
            <w:pPr>
              <w:spacing w:after="40"/>
            </w:pPr>
            <w:r>
              <w:rPr>
                <w:sz w:val="20"/>
                <w:szCs w:val="20"/>
              </w:rPr>
              <w:t xml:space="preserve">SUPPLYTIME 2017</w:t>
            </w:r>
          </w:p>
        </w:tc>
      </w:tr>
      <w:tr>
        <w:tc>
          <w:tcPr>
            <w:tcW w:type="dxa" w:w="3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b/>
                <w:bCs/>
                <w:sz w:val="20"/>
                <w:szCs w:val="20"/>
              </w:rPr>
              <w:t xml:space="preserve">Current Daily Hire Rate</w:t>
            </w:r>
          </w:p>
        </w:tc>
        <w:tc>
          <w:tcPr>
            <w:tcW w:type="dxa" w:w="6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sz w:val="20"/>
                <w:szCs w:val="20"/>
              </w:rPr>
              <w:t xml:space="preserve">US$ 12,000.00 (per Amendment No.1)</w:t>
            </w:r>
          </w:p>
        </w:tc>
      </w:tr>
      <w:tr>
        <w:tc>
          <w:tcPr>
            <w:tcW w:type="dxa" w:w="3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b/>
                <w:bCs/>
                <w:sz w:val="20"/>
                <w:szCs w:val="20"/>
              </w:rPr>
              <w:t xml:space="preserve">Proposed Lay-Up
Commencement Date</w:t>
            </w:r>
          </w:p>
        </w:tc>
        <w:tc>
          <w:tcPr>
            <w:tcW w:type="dxa" w:w="6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sz w:val="20"/>
                <w:szCs w:val="20"/>
              </w:rPr>
              <w:t xml:space="preserve">10 March 2026</w:t>
            </w:r>
          </w:p>
          <w:p>
            <w:pPr>
              <w:spacing w:after="40"/>
            </w:pPr>
            <w:r>
              <w:rPr>
                <w:sz w:val="20"/>
                <w:szCs w:val="20"/>
              </w:rPr>
              <w:t xml:space="preserve">(or as soon as practicable upon Owner’s confirmation)</w:t>
            </w:r>
          </w:p>
        </w:tc>
      </w:tr>
      <w:tr>
        <w:tc>
          <w:tcPr>
            <w:tcW w:type="dxa" w:w="3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b/>
                <w:bCs/>
                <w:sz w:val="20"/>
                <w:szCs w:val="20"/>
              </w:rPr>
              <w:t xml:space="preserve">Estimated Lay-Up Duration</w:t>
            </w:r>
          </w:p>
        </w:tc>
        <w:tc>
          <w:tcPr>
            <w:tcW w:type="dxa" w:w="6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sz w:val="20"/>
                <w:szCs w:val="20"/>
              </w:rPr>
              <w:t xml:space="preserve">Until 31 March 2026</w:t>
            </w:r>
          </w:p>
          <w:p>
            <w:pPr>
              <w:spacing w:after="40"/>
            </w:pPr>
            <w:r>
              <w:rPr>
                <w:sz w:val="20"/>
                <w:szCs w:val="20"/>
              </w:rPr>
              <w:t xml:space="preserve">(Charter expiry date per Amendment No.5)</w:t>
            </w:r>
          </w:p>
          <w:p>
            <w:pPr>
              <w:spacing w:after="40"/>
            </w:pPr>
            <w:r>
              <w:rPr>
                <w:sz w:val="20"/>
                <w:szCs w:val="20"/>
              </w:rPr>
              <w:t xml:space="preserve">Subject to extension by mutual agreement</w:t>
            </w:r>
          </w:p>
        </w:tc>
      </w:tr>
      <w:tr>
        <w:tc>
          <w:tcPr>
            <w:tcW w:type="dxa" w:w="3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b/>
                <w:bCs/>
                <w:sz w:val="20"/>
                <w:szCs w:val="20"/>
              </w:rPr>
              <w:t xml:space="preserve">Nominated Safe Port /
Place of Lay-Up</w:t>
            </w:r>
          </w:p>
        </w:tc>
        <w:tc>
          <w:tcPr>
            <w:tcW w:type="dxa" w:w="6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sz w:val="20"/>
                <w:szCs w:val="20"/>
              </w:rPr>
              <w:t xml:space="preserve">Jopetwil Jetty, Mussafah Channel</w:t>
            </w:r>
          </w:p>
          <w:p>
            <w:pPr>
              <w:spacing w:after="40"/>
            </w:pPr>
            <w:r>
              <w:rPr>
                <w:sz w:val="20"/>
                <w:szCs w:val="20"/>
              </w:rPr>
              <w:t xml:space="preserve">Abu Dhabi, United Arab Emirates</w:t>
            </w:r>
          </w:p>
        </w:tc>
      </w:tr>
      <w:tr>
        <w:tc>
          <w:tcPr>
            <w:tcW w:type="dxa" w:w="32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b/>
                <w:bCs/>
                <w:sz w:val="20"/>
                <w:szCs w:val="20"/>
              </w:rPr>
              <w:t xml:space="preserve">Reason for Lay-Up</w:t>
            </w:r>
          </w:p>
        </w:tc>
        <w:tc>
          <w:tcPr>
            <w:tcW w:type="dxa" w:w="6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sz w:val="20"/>
                <w:szCs w:val="20"/>
              </w:rPr>
              <w:t xml:space="preserve">Extended standby due to operational constraints:</w:t>
            </w:r>
          </w:p>
          <w:p>
            <w:pPr>
              <w:spacing w:after="40"/>
            </w:pPr>
            <w:r>
              <w:rPr>
                <w:sz w:val="20"/>
                <w:szCs w:val="20"/>
              </w:rPr>
              <w:t xml:space="preserve">AGI access restriction, adverse weather,</w:t>
            </w:r>
          </w:p>
          <w:p>
            <w:pPr>
              <w:spacing w:after="40"/>
            </w:pPr>
            <w:r>
              <w:rPr>
                <w:sz w:val="20"/>
                <w:szCs w:val="20"/>
              </w:rPr>
              <w:t xml:space="preserve">berth unavailability, cargo readiness delays</w:t>
            </w:r>
          </w:p>
        </w:tc>
      </w:tr>
    </w:tbl>
    <w:p>
      <w:pPr>
        <w:spacing w:after="200"/>
      </w:pPr>
    </w:p>
    <w:p>
      <w:pPr>
        <w:pStyle w:val="Heading1"/>
      </w:pPr>
      <w:r>
        <w:t xml:space="preserve">2. Request for Owner’s Response (Clause 33(b))</w:t>
      </w:r>
    </w:p>
    <w:p>
      <w:pPr>
        <w:spacing w:after="120"/>
        <w:jc w:val="left"/>
      </w:pPr>
      <w:r>
        <w:t xml:space="preserve">In accordance with Clause 33(b) of the Charter Party, we respectfully request that the Owners provide, </w:t>
      </w:r>
      <w:r>
        <w:rPr>
          <w:b/>
          <w:bCs/>
        </w:rPr>
        <w:t xml:space="preserve">within seven (7) days</w:t>
      </w:r>
      <w:r>
        <w:t xml:space="preserve"> of receipt of this notice, the following information in writing:</w:t>
      </w:r>
    </w:p>
    <w:p>
      <w:pPr>
        <w:pStyle w:val="ListParagraph"/>
        <w:numPr>
          <w:ilvl w:val="0"/>
          <w:numId w:val="3"/>
        </w:numPr>
        <w:spacing w:after="80"/>
      </w:pPr>
      <w:r>
        <w:rPr>
          <w:sz w:val="22"/>
          <w:szCs w:val="22"/>
        </w:rPr>
        <w:t xml:space="preserve">The Owners’ approval of the nominated port or place of lay-up (Jopetwil Jetty, Mussafah), or, if not approved, an alternative port or place (Clause 33(b)(i));</w:t>
      </w:r>
    </w:p>
    <w:p>
      <w:pPr>
        <w:pStyle w:val="ListParagraph"/>
        <w:numPr>
          <w:ilvl w:val="0"/>
          <w:numId w:val="3"/>
        </w:numPr>
        <w:spacing w:after="80"/>
      </w:pPr>
      <w:r>
        <w:rPr>
          <w:sz w:val="22"/>
          <w:szCs w:val="22"/>
        </w:rPr>
        <w:t xml:space="preserve">The Owners’ description and justification of the nature and extent of the lay-up (Clause 33(b)(ii));</w:t>
      </w:r>
    </w:p>
    <w:p>
      <w:pPr>
        <w:pStyle w:val="ListParagraph"/>
        <w:numPr>
          <w:ilvl w:val="0"/>
          <w:numId w:val="3"/>
        </w:numPr>
        <w:spacing w:after="80"/>
      </w:pPr>
      <w:r>
        <w:rPr>
          <w:sz w:val="22"/>
          <w:szCs w:val="22"/>
        </w:rPr>
        <w:t xml:space="preserve">The Owners’ reasonable estimate of costs to place the Vessel in lay-up and the time required (Clause 33(b)(iii));</w:t>
      </w:r>
    </w:p>
    <w:p>
      <w:pPr>
        <w:pStyle w:val="ListParagraph"/>
        <w:numPr>
          <w:ilvl w:val="0"/>
          <w:numId w:val="3"/>
        </w:numPr>
        <w:spacing w:after="80"/>
      </w:pPr>
      <w:r>
        <w:rPr>
          <w:sz w:val="22"/>
          <w:szCs w:val="22"/>
        </w:rPr>
        <w:t xml:space="preserve">The Owners’ reasonable daily savings during the period of lay-up and the amount of reduced hire (Clause 33(b)(iv)); and</w:t>
      </w:r>
    </w:p>
    <w:p>
      <w:pPr>
        <w:pStyle w:val="ListParagraph"/>
        <w:numPr>
          <w:ilvl w:val="0"/>
          <w:numId w:val="3"/>
        </w:numPr>
        <w:spacing w:after="200"/>
      </w:pPr>
      <w:r>
        <w:rPr>
          <w:sz w:val="22"/>
          <w:szCs w:val="22"/>
        </w:rPr>
        <w:t xml:space="preserve">The Owners’ reasonable estimate of costs to reactivate the Vessel at the end of the lay-up period and the time required (Clause 33(b)(v)).</w:t>
      </w:r>
    </w:p>
    <w:p>
      <w:pPr>
        <w:pStyle w:val="Heading1"/>
      </w:pPr>
      <w:r>
        <w:t xml:space="preserve">3. Charterer’s Confirmation (Clause 33(c))</w:t>
      </w:r>
    </w:p>
    <w:p>
      <w:pPr>
        <w:spacing w:after="200"/>
        <w:jc w:val="left"/>
      </w:pPr>
      <w:r>
        <w:t xml:space="preserve">Upon receipt of the above information, the Charterers shall confirm, within seven (7) days per Clause 33(c), whether to proceed with the lay-up. We anticipate confirmation to proceed, subject to the reasonableness of the Owners’ response.</w:t>
      </w:r>
    </w:p>
    <w:p>
      <w:pPr>
        <w:pStyle w:val="Heading1"/>
      </w:pPr>
      <w:r>
        <w:t xml:space="preserve">4. Hire Reduction (Clause 33(d))</w:t>
      </w:r>
    </w:p>
    <w:p>
      <w:pPr>
        <w:spacing w:after="200"/>
        <w:jc w:val="left"/>
      </w:pPr>
      <w:r>
        <w:t xml:space="preserve">We note that, pursuant to Clause 33(d), the Vessel’s hire rate shall be reduced to the amount specified by the Owners in their response under Clause 33(b)(iv), from the date the Vessel is in the agreed port and commences to effect lay-up. The Charterers shall pay the reasonably incurred costs of laying-up and of reactivating the Vessel.</w:t>
      </w:r>
    </w:p>
    <w:p>
      <w:pPr>
        <w:pStyle w:val="Heading1"/>
      </w:pPr>
      <w:r>
        <w:t xml:space="preserve">5. Reactivation (Clause 33(e))</w:t>
      </w:r>
    </w:p>
    <w:p>
      <w:pPr>
        <w:spacing w:after="200"/>
        <w:jc w:val="left"/>
      </w:pPr>
      <w:r>
        <w:t xml:space="preserve">Should conditions change and cargo operations resume, the Charterers shall provide no less than </w:t>
      </w:r>
      <w:r>
        <w:rPr>
          <w:b/>
          <w:bCs/>
        </w:rPr>
        <w:t xml:space="preserve">thirty (30) days’ prior written notice</w:t>
      </w:r>
      <w:r>
        <w:t xml:space="preserve"> for reactivation per Clause 33(e). Given that the Charter Period is currently set to expire on </w:t>
      </w:r>
      <w:r>
        <w:rPr>
          <w:b/>
          <w:bCs/>
        </w:rPr>
        <w:t xml:space="preserve">31 March 2026</w:t>
      </w:r>
      <w:r>
        <w:t xml:space="preserve"> (Amendment No.5), we note the provisions of Clause 33(f) regarding lay-up at charter expiry shall apply if the Vessel remains in lay-up at that date.</w:t>
      </w:r>
    </w:p>
    <w:p>
      <w:pPr>
        <w:pStyle w:val="Heading1"/>
      </w:pPr>
      <w:r>
        <w:t xml:space="preserve">6. Reservation of Rights</w:t>
      </w:r>
    </w:p>
    <w:p>
      <w:pPr>
        <w:spacing w:after="120"/>
        <w:jc w:val="left"/>
      </w:pPr>
      <w:r>
        <w:t xml:space="preserve">This notice is given strictly pursuant to Clause 33 of the Charter Party and is without prejudice to any other rights and remedies available to the Charterers under the Charter Party, at law, or in equity, including but not limited to:</w:t>
      </w:r>
    </w:p>
    <w:p>
      <w:pPr>
        <w:pStyle w:val="ListParagraph"/>
        <w:numPr>
          <w:ilvl w:val="0"/>
          <w:numId w:val="2"/>
        </w:numPr>
        <w:spacing w:after="80"/>
      </w:pPr>
      <w:r>
        <w:rPr>
          <w:sz w:val="22"/>
          <w:szCs w:val="22"/>
        </w:rPr>
        <w:t xml:space="preserve">The Charterers’ rights under Clause 35 (Force Majeure) of the Charter Party;</w:t>
      </w:r>
    </w:p>
    <w:p>
      <w:pPr>
        <w:pStyle w:val="ListParagraph"/>
        <w:numPr>
          <w:ilvl w:val="0"/>
          <w:numId w:val="2"/>
        </w:numPr>
        <w:spacing w:after="80"/>
      </w:pPr>
      <w:r>
        <w:rPr>
          <w:sz w:val="22"/>
          <w:szCs w:val="22"/>
        </w:rPr>
        <w:t xml:space="preserve">The Charterers’ rights to claim for any losses recoverable under the Charter Party or applicable law;</w:t>
      </w:r>
    </w:p>
    <w:p>
      <w:pPr>
        <w:pStyle w:val="ListParagraph"/>
        <w:numPr>
          <w:ilvl w:val="0"/>
          <w:numId w:val="2"/>
        </w:numPr>
        <w:spacing w:after="200"/>
      </w:pPr>
      <w:r>
        <w:rPr>
          <w:sz w:val="22"/>
          <w:szCs w:val="22"/>
        </w:rPr>
        <w:t xml:space="preserve">Any rights arising under UAE Civil Code Article 249 (Hardship) or otherwise.</w:t>
      </w:r>
    </w:p>
    <w:p>
      <w:pPr>
        <w:spacing w:after="240"/>
        <w:jc w:val="left"/>
      </w:pPr>
      <w:r>
        <w:t xml:space="preserve">The Charterers expressly reserve all such rights, and nothing in this notice shall be construed as a waiver thereof.</w:t>
      </w:r>
    </w:p>
    <w:p>
      <w:pPr>
        <w:pStyle w:val="Heading1"/>
      </w:pPr>
      <w:r>
        <w:t xml:space="preserve">7. Contact &amp; Acknowledgement</w:t>
      </w:r>
    </w:p>
    <w:p>
      <w:pPr>
        <w:spacing w:after="240"/>
        <w:jc w:val="left"/>
      </w:pPr>
      <w:r>
        <w:t xml:space="preserve">We request written acknowledgement of receipt of this notice at your earliest convenience. For any queries or to coordinate the lay-up arrangements, please contact the undersigned.</w:t>
      </w:r>
    </w:p>
    <w:p>
      <w:pPr>
        <w:spacing w:after="240"/>
        <w:jc w:val="left"/>
      </w:pPr>
      <w:r>
        <w:t xml:space="preserve">We trust in your prompt attention to this matter and look forward to receiving the Owners’ response within the stipulated timeframe.</w:t>
      </w:r>
    </w:p>
    <w:p>
      <w:pPr>
        <w:spacing w:after="200"/>
        <w:jc w:val="left"/>
      </w:pPr>
      <w:r>
        <w:t xml:space="preserve">Yours faithfully,</w:t>
      </w:r>
    </w:p>
    <w:p>
      <w:pPr>
        <w:spacing w:after="60"/>
        <w:jc w:val="left"/>
      </w:pPr>
      <w:r>
        <w:rPr>
          <w:i/>
          <w:iCs/>
          <w:sz w:val="20"/>
          <w:szCs w:val="20"/>
        </w:rPr>
        <w:t xml:space="preserve">For and on behalf of</w:t>
      </w:r>
    </w:p>
    <w:p>
      <w:pPr>
        <w:spacing w:after="200"/>
        <w:jc w:val="left"/>
      </w:pPr>
      <w:r>
        <w:rPr>
          <w:b/>
          <w:bCs/>
          <w:sz w:val="24"/>
          <w:szCs w:val="24"/>
        </w:rPr>
        <w:t xml:space="preserve">SAMSUNG C&amp;T CORPORATION</w:t>
      </w:r>
    </w:p>
    <w:p>
      <w:pPr>
        <w:spacing w:after="100"/>
      </w:pPr>
    </w:p>
    <w:p>
      <w:pPr>
        <w:spacing w:after="60"/>
        <w:jc w:val="left"/>
      </w:pPr>
      <w:r>
        <w:t xml:space="preserve">______________________________</w:t>
      </w:r>
    </w:p>
    <w:p>
      <w:pPr>
        <w:spacing w:after="120"/>
        <w:jc w:val="left"/>
      </w:pPr>
      <w:r>
        <w:rPr>
          <w:sz w:val="20"/>
          <w:szCs w:val="20"/>
        </w:rPr>
        <w:t xml:space="preserve">[Name]</w:t>
      </w:r>
    </w:p>
    <w:p>
      <w:pPr>
        <w:spacing w:after="120"/>
        <w:jc w:val="left"/>
      </w:pPr>
      <w:r>
        <w:rPr>
          <w:sz w:val="20"/>
          <w:szCs w:val="20"/>
        </w:rPr>
        <w:t xml:space="preserve">[Title / Position]</w:t>
      </w:r>
    </w:p>
    <w:p>
      <w:pPr>
        <w:spacing w:after="120"/>
        <w:jc w:val="left"/>
      </w:pPr>
      <w:r>
        <w:rPr>
          <w:sz w:val="20"/>
          <w:szCs w:val="20"/>
        </w:rPr>
        <w:t xml:space="preserve">EPC Project Division – HVDC Interconnector Project</w:t>
      </w:r>
    </w:p>
    <w:p>
      <w:pPr>
        <w:spacing w:after="120"/>
        <w:jc w:val="left"/>
      </w:pPr>
      <w:r>
        <w:rPr>
          <w:sz w:val="20"/>
          <w:szCs w:val="20"/>
        </w:rPr>
        <w:t xml:space="preserve">Email: [email]</w:t>
      </w:r>
    </w:p>
    <w:p>
      <w:pPr>
        <w:spacing w:after="200"/>
        <w:jc w:val="left"/>
      </w:pPr>
      <w:r>
        <w:rPr>
          <w:sz w:val="20"/>
          <w:szCs w:val="20"/>
        </w:rPr>
        <w:t xml:space="preserve">Tel: [phone]</w:t>
      </w:r>
    </w:p>
    <w:p>
      <w:pPr>
        <w:pBdr>
          <w:top w:val="single" w:color="CCCCCC" w:sz="4" w:space="1"/>
        </w:pBdr>
        <w:spacing w:after="80" w:before="200"/>
      </w:pPr>
      <w:r>
        <w:rPr>
          <w:b/>
          <w:bCs/>
          <w:sz w:val="20"/>
          <w:szCs w:val="20"/>
        </w:rPr>
        <w:t xml:space="preserve">cc:</w:t>
      </w:r>
    </w:p>
    <w:p>
      <w:pPr>
        <w:spacing w:after="120"/>
        <w:ind w:left="360"/>
        <w:jc w:val="left"/>
      </w:pPr>
      <w:r>
        <w:rPr>
          <w:sz w:val="18"/>
          <w:szCs w:val="18"/>
        </w:rPr>
        <w:t xml:space="preserve">Samsung C&amp;T – Project Director, HVDC Project</w:t>
      </w:r>
    </w:p>
    <w:p>
      <w:pPr>
        <w:spacing w:after="120"/>
        <w:ind w:left="360"/>
        <w:jc w:val="left"/>
      </w:pPr>
      <w:r>
        <w:rPr>
          <w:sz w:val="18"/>
          <w:szCs w:val="18"/>
        </w:rPr>
        <w:t xml:space="preserve">Samsung C&amp;T – Contract &amp; Commercial Manager</w:t>
      </w:r>
    </w:p>
    <w:p>
      <w:pPr>
        <w:spacing w:after="120"/>
        <w:ind w:left="360"/>
        <w:jc w:val="left"/>
      </w:pPr>
      <w:r>
        <w:rPr>
          <w:sz w:val="18"/>
          <w:szCs w:val="18"/>
        </w:rPr>
        <w:t xml:space="preserve">Samsung C&amp;T – Logistics Manager</w:t>
      </w:r>
    </w:p>
    <w:p>
      <w:pPr>
        <w:spacing w:after="120"/>
        <w:ind w:left="360"/>
        <w:jc w:val="left"/>
      </w:pPr>
      <w:r>
        <w:rPr>
          <w:sz w:val="18"/>
          <w:szCs w:val="18"/>
        </w:rPr>
        <w:t xml:space="preserve">ADNOC L&amp;S – Charter Operations Department</w:t>
      </w:r>
    </w:p>
    <w:p>
      <w:pPr>
        <w:spacing w:after="200"/>
      </w:pPr>
    </w:p>
    <w:p>
      <w:pPr>
        <w:pBdr>
          <w:top w:val="single" w:color="CCCCCC" w:sz="4" w:space="1"/>
        </w:pBdr>
        <w:spacing w:after="80" w:before="100"/>
      </w:pPr>
      <w:r>
        <w:rPr>
          <w:b/>
          <w:bCs/>
          <w:sz w:val="20"/>
          <w:szCs w:val="20"/>
        </w:rPr>
        <w:t xml:space="preserve">Enclosures:</w:t>
      </w:r>
    </w:p>
    <w:p>
      <w:pPr>
        <w:spacing w:after="120"/>
        <w:ind w:left="360"/>
        <w:jc w:val="left"/>
      </w:pPr>
      <w:r>
        <w:rPr>
          <w:sz w:val="18"/>
          <w:szCs w:val="18"/>
        </w:rPr>
        <w:t xml:space="preserve">1. JOPETWIL 71 Decklog Extract (28 Feb – 09 Mar 2026)</w:t>
      </w:r>
    </w:p>
    <w:p>
      <w:pPr>
        <w:spacing w:after="120"/>
        <w:ind w:left="360"/>
        <w:jc w:val="left"/>
      </w:pPr>
      <w:r>
        <w:rPr>
          <w:sz w:val="18"/>
          <w:szCs w:val="18"/>
        </w:rPr>
        <w:t xml:space="preserve">2. Charter Cost Analysis Report (dated 09 Mar 2026)</w:t>
      </w:r>
    </w:p>
    <w:p>
      <w:pPr>
        <w:spacing w:after="120"/>
        <w:ind w:left="360"/>
        <w:jc w:val="left"/>
      </w:pPr>
      <w:r>
        <w:rPr>
          <w:sz w:val="18"/>
          <w:szCs w:val="18"/>
        </w:rPr>
        <w:t xml:space="preserve">3. COST-GUARD Lay-Up vs Standby vs Termination Comparison Dashboard</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1"/>
      </w:pBdr>
      <w:tabs>
        <w:tab w:val="right" w:pos="9026"/>
      </w:tabs>
      <w:spacing w:before="100"/>
    </w:pPr>
    <w:r>
      <w:rPr>
        <w:color w:val="999999"/>
        <w:sz w:val="16"/>
        <w:szCs w:val="16"/>
      </w:rPr>
      <w:t xml:space="preserve">CONFIDENTIAL  |  SCT-19LT-PJC-LA-007</w:t>
    </w:r>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rPr>
        <w:rFonts w:ascii="Arial" w:cs="Arial" w:eastAsia="Arial" w:hAnsi="Arial"/>
        <w:b/>
        <w:bCs/>
        <w:color w:val="003366"/>
        <w:sz w:val="24"/>
        <w:szCs w:val="24"/>
      </w:rPr>
      <w:t xml:space="preserve">SAMSUNG C&amp;T CORPORATION</w:t>
    </w:r>
  </w:p>
  <w:p>
    <w:pPr>
      <w:spacing w:after="60"/>
      <w:jc w:val="left"/>
    </w:pPr>
    <w:r>
      <w:rPr>
        <w:rFonts w:ascii="Arial" w:cs="Arial" w:eastAsia="Arial" w:hAnsi="Arial"/>
        <w:color w:val="666666"/>
        <w:sz w:val="18"/>
        <w:szCs w:val="18"/>
      </w:rPr>
      <w:t xml:space="preserve">EPC Project Division  |  HVDC Interconnector Project</w:t>
    </w:r>
  </w:p>
  <w:p>
    <w:pPr>
      <w:pBdr>
        <w:bottom w:val="single" w:color="003366" w:sz="6" w:space="1"/>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33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2026-03-09T08:27:19.087Z</dcterms:created>
  <dcterms:modified xsi:type="dcterms:W3CDTF">2026-03-09T08:27:19.087Z</dcterms:modified>
</cp:coreProperties>
</file>

<file path=docProps/custom.xml><?xml version="1.0" encoding="utf-8"?>
<Properties xmlns="http://schemas.openxmlformats.org/officeDocument/2006/custom-properties" xmlns:vt="http://schemas.openxmlformats.org/officeDocument/2006/docPropsVTypes"/>
</file>