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right"/>
      </w:pPr>
      <w:r>
        <w:rPr>
          <w:rFonts w:ascii="Arial" w:cs="Arial" w:eastAsia="Arial" w:hAnsi="Arial"/>
          <w:b/>
          <w:bCs/>
          <w:i w:val="false"/>
          <w:iCs w:val="false"/>
          <w:color w:val="CC0000"/>
          <w:sz w:val="20"/>
          <w:szCs w:val="20"/>
        </w:rPr>
        <w:t xml:space="preserve">CONFIDENTIAL</w:t>
      </w:r>
    </w:p>
    <w:p>
      <w:pPr>
        <w:spacing w:after="200" w:before="0" w:line="276"/>
        <w:jc w:val="left"/>
      </w:pPr>
      <w:r>
        <w:rPr>
          <w:rFonts w:ascii="Arial" w:cs="Arial" w:eastAsia="Arial" w:hAnsi="Arial"/>
          <w:b w:val="false"/>
          <w:bCs w:val="false"/>
          <w:i w:val="false"/>
          <w:iCs w:val="false"/>
          <w:color w:val="000000"/>
          <w:sz w:val="22"/>
          <w:szCs w:val="22"/>
        </w:rPr>
        <w:t xml:space="preserve">March 9, 2026</w:t>
      </w:r>
    </w:p>
    <w:p>
      <w:pPr>
        <w:spacing w:after="40" w:before="0" w:line="276"/>
        <w:jc w:val="left"/>
      </w:pPr>
      <w:r>
        <w:rPr>
          <w:rFonts w:ascii="Arial" w:cs="Arial" w:eastAsia="Arial" w:hAnsi="Arial"/>
          <w:b/>
          <w:bCs/>
          <w:i w:val="false"/>
          <w:iCs w:val="false"/>
          <w:color w:val="000000"/>
          <w:sz w:val="22"/>
          <w:szCs w:val="22"/>
        </w:rPr>
        <w:t xml:space="preserve">ADNOC Logistics &amp; Services (ALS)</w:t>
      </w:r>
    </w:p>
    <w:p>
      <w:pPr>
        <w:spacing w:after="40" w:before="0" w:line="276"/>
        <w:jc w:val="left"/>
      </w:pPr>
      <w:r>
        <w:rPr>
          <w:rFonts w:ascii="Arial" w:cs="Arial" w:eastAsia="Arial" w:hAnsi="Arial"/>
          <w:b w:val="false"/>
          <w:bCs w:val="false"/>
          <w:i w:val="false"/>
          <w:iCs w:val="false"/>
          <w:color w:val="000000"/>
          <w:sz w:val="22"/>
          <w:szCs w:val="22"/>
        </w:rPr>
        <w:t xml:space="preserve">P.O. Box 898, Abu Dhabi</w:t>
      </w:r>
    </w:p>
    <w:p>
      <w:pPr>
        <w:spacing w:after="200" w:before="0" w:line="276"/>
        <w:jc w:val="left"/>
      </w:pPr>
      <w:r>
        <w:rPr>
          <w:rFonts w:ascii="Arial" w:cs="Arial" w:eastAsia="Arial" w:hAnsi="Arial"/>
          <w:b w:val="false"/>
          <w:bCs w:val="false"/>
          <w:i w:val="false"/>
          <w:iCs w:val="false"/>
          <w:color w:val="000000"/>
          <w:sz w:val="22"/>
          <w:szCs w:val="22"/>
        </w:rPr>
        <w:t xml:space="preserve">United Arab Emirates</w:t>
      </w:r>
    </w:p>
    <w:p>
      <w:pPr>
        <w:spacing w:after="200" w:before="0" w:line="276"/>
        <w:jc w:val="left"/>
      </w:pPr>
      <w:r>
        <w:rPr>
          <w:rFonts w:ascii="Arial" w:cs="Arial" w:eastAsia="Arial" w:hAnsi="Arial"/>
          <w:b/>
          <w:bCs/>
          <w:i w:val="false"/>
          <w:iCs w:val="false"/>
          <w:color w:val="000000"/>
          <w:sz w:val="22"/>
          <w:szCs w:val="22"/>
        </w:rPr>
        <w:t xml:space="preserve">Attention: </w:t>
      </w:r>
      <w:r>
        <w:rPr>
          <w:rFonts w:ascii="Arial" w:cs="Arial" w:eastAsia="Arial" w:hAnsi="Arial"/>
          <w:b w:val="false"/>
          <w:bCs w:val="false"/>
          <w:i w:val="false"/>
          <w:iCs w:val="false"/>
          <w:color w:val="000000"/>
          <w:sz w:val="22"/>
          <w:szCs w:val="22"/>
        </w:rPr>
        <w:t xml:space="preserve">Chartering &amp; Marine Operations Department</w:t>
      </w:r>
    </w:p>
    <w:p>
      <w:pPr>
        <w:spacing w:after="40" w:before="0" w:line="276"/>
        <w:jc w:val="left"/>
      </w:pPr>
      <w:r>
        <w:rPr>
          <w:rFonts w:ascii="Arial" w:cs="Arial" w:eastAsia="Arial" w:hAnsi="Arial"/>
          <w:b/>
          <w:bCs/>
          <w:i w:val="false"/>
          <w:iCs w:val="false"/>
          <w:color w:val="000000"/>
          <w:sz w:val="22"/>
          <w:szCs w:val="22"/>
        </w:rPr>
        <w:t xml:space="preserve">Re: </w:t>
      </w:r>
      <w:r>
        <w:rPr>
          <w:rFonts w:ascii="Arial" w:cs="Arial" w:eastAsia="Arial" w:hAnsi="Arial"/>
          <w:b/>
          <w:bCs/>
          <w:i w:val="false"/>
          <w:iCs w:val="false"/>
          <w:color w:val="000000"/>
          <w:sz w:val="22"/>
          <w:szCs w:val="22"/>
          <w:u w:val="single"/>
        </w:rPr>
        <w:t xml:space="preserve">FORMAL NOTICE OF FORCE MAJEURE EVENT</w:t>
      </w:r>
    </w:p>
    <w:p>
      <w:pPr>
        <w:spacing w:after="40" w:before="0" w:line="276"/>
        <w:jc w:val="left"/>
      </w:pPr>
      <w:r>
        <w:rPr>
          <w:rFonts w:ascii="Arial" w:cs="Arial" w:eastAsia="Arial" w:hAnsi="Arial"/>
          <w:b/>
          <w:bCs/>
          <w:i w:val="false"/>
          <w:iCs w:val="false"/>
          <w:color w:val="000000"/>
          <w:sz w:val="20"/>
          <w:szCs w:val="20"/>
        </w:rPr>
        <w:t xml:space="preserve">Charter Party: </w:t>
      </w:r>
      <w:r>
        <w:rPr>
          <w:rFonts w:ascii="Arial" w:cs="Arial" w:eastAsia="Arial" w:hAnsi="Arial"/>
          <w:b w:val="false"/>
          <w:bCs w:val="false"/>
          <w:i w:val="false"/>
          <w:iCs w:val="false"/>
          <w:color w:val="000000"/>
          <w:sz w:val="20"/>
          <w:szCs w:val="20"/>
        </w:rPr>
        <w:t xml:space="preserve">SCT-19LT-PJC-LA-007 / OLCOF24-ALS086</w:t>
      </w:r>
    </w:p>
    <w:p>
      <w:pPr>
        <w:spacing w:after="40" w:before="0" w:line="276"/>
        <w:jc w:val="left"/>
      </w:pPr>
      <w:r>
        <w:rPr>
          <w:rFonts w:ascii="Arial" w:cs="Arial" w:eastAsia="Arial" w:hAnsi="Arial"/>
          <w:b/>
          <w:bCs/>
          <w:i w:val="false"/>
          <w:iCs w:val="false"/>
          <w:color w:val="000000"/>
          <w:sz w:val="20"/>
          <w:szCs w:val="20"/>
        </w:rPr>
        <w:t xml:space="preserve">Vessel: </w:t>
      </w:r>
      <w:r>
        <w:rPr>
          <w:rFonts w:ascii="Arial" w:cs="Arial" w:eastAsia="Arial" w:hAnsi="Arial"/>
          <w:b w:val="false"/>
          <w:bCs w:val="false"/>
          <w:i w:val="false"/>
          <w:iCs w:val="false"/>
          <w:color w:val="000000"/>
          <w:sz w:val="20"/>
          <w:szCs w:val="20"/>
        </w:rPr>
        <w:t xml:space="preserve">JOPETWIL 71</w:t>
      </w:r>
    </w:p>
    <w:p>
      <w:pPr>
        <w:spacing w:after="200" w:before="0" w:line="276"/>
        <w:jc w:val="left"/>
      </w:pPr>
      <w:r>
        <w:rPr>
          <w:rFonts w:ascii="Arial" w:cs="Arial" w:eastAsia="Arial" w:hAnsi="Arial"/>
          <w:b/>
          <w:bCs/>
          <w:i w:val="false"/>
          <w:iCs w:val="false"/>
          <w:color w:val="000000"/>
          <w:sz w:val="20"/>
          <w:szCs w:val="20"/>
        </w:rPr>
        <w:t xml:space="preserve">Form: </w:t>
      </w:r>
      <w:r>
        <w:rPr>
          <w:rFonts w:ascii="Arial" w:cs="Arial" w:eastAsia="Arial" w:hAnsi="Arial"/>
          <w:b w:val="false"/>
          <w:bCs w:val="false"/>
          <w:i w:val="false"/>
          <w:iCs w:val="false"/>
          <w:color w:val="000000"/>
          <w:sz w:val="20"/>
          <w:szCs w:val="20"/>
        </w:rPr>
        <w:t xml:space="preserve">SUPPLYTIME 2017 (BIMCO)</w:t>
      </w:r>
    </w:p>
    <w:p>
      <w:pPr>
        <w:spacing w:after="200" w:before="0" w:line="276"/>
        <w:jc w:val="left"/>
      </w:pPr>
      <w:r>
        <w:rPr>
          <w:rFonts w:ascii="Arial" w:cs="Arial" w:eastAsia="Arial" w:hAnsi="Arial"/>
          <w:b w:val="false"/>
          <w:bCs w:val="false"/>
          <w:i w:val="false"/>
          <w:iCs w:val="false"/>
          <w:color w:val="000000"/>
          <w:sz w:val="22"/>
          <w:szCs w:val="22"/>
        </w:rPr>
        <w:t xml:space="preserve">Dear Sirs,</w:t>
      </w:r>
    </w:p>
    <w:p>
      <w:pPr>
        <w:pStyle w:val="Heading1"/>
      </w:pPr>
      <w:r>
        <w:rPr>
          <w:rFonts w:ascii="Arial" w:cs="Arial" w:eastAsia="Arial" w:hAnsi="Arial"/>
          <w:b/>
          <w:bCs/>
          <w:i w:val="false"/>
          <w:iCs w:val="false"/>
          <w:color w:val="1F3864"/>
          <w:sz w:val="28"/>
          <w:szCs w:val="28"/>
        </w:rPr>
        <w:t xml:space="preserve">1. NOTICE OF FORCE MAJEURE</w:t>
      </w:r>
    </w:p>
    <w:p>
      <w:pPr>
        <w:spacing w:after="160" w:before="0" w:line="276"/>
        <w:jc w:val="left"/>
      </w:pPr>
      <w:r>
        <w:rPr>
          <w:rFonts w:ascii="Arial" w:cs="Arial" w:eastAsia="Arial" w:hAnsi="Arial"/>
          <w:b w:val="false"/>
          <w:bCs w:val="false"/>
          <w:i w:val="false"/>
          <w:iCs w:val="false"/>
          <w:color w:val="000000"/>
          <w:sz w:val="22"/>
          <w:szCs w:val="22"/>
        </w:rPr>
        <w:t xml:space="preserve">We write on behalf of </w:t>
      </w:r>
      <w:r>
        <w:rPr>
          <w:rFonts w:ascii="Arial" w:cs="Arial" w:eastAsia="Arial" w:hAnsi="Arial"/>
          <w:b/>
          <w:bCs/>
          <w:i w:val="false"/>
          <w:iCs w:val="false"/>
          <w:color w:val="000000"/>
          <w:sz w:val="22"/>
          <w:szCs w:val="22"/>
        </w:rPr>
        <w:t xml:space="preserve">Samsung C&amp;T Corporation</w:t>
      </w:r>
      <w:r>
        <w:rPr>
          <w:rFonts w:ascii="Arial" w:cs="Arial" w:eastAsia="Arial" w:hAnsi="Arial"/>
          <w:b w:val="false"/>
          <w:bCs w:val="false"/>
          <w:i w:val="false"/>
          <w:iCs w:val="false"/>
          <w:color w:val="000000"/>
          <w:sz w:val="22"/>
          <w:szCs w:val="22"/>
        </w:rPr>
        <w:t xml:space="preserve"> ("Charterers") to formally notify </w:t>
      </w:r>
      <w:r>
        <w:rPr>
          <w:rFonts w:ascii="Arial" w:cs="Arial" w:eastAsia="Arial" w:hAnsi="Arial"/>
          <w:b/>
          <w:bCs/>
          <w:i w:val="false"/>
          <w:iCs w:val="false"/>
          <w:color w:val="000000"/>
          <w:sz w:val="22"/>
          <w:szCs w:val="22"/>
        </w:rPr>
        <w:t xml:space="preserve">ADNOC Logistics &amp; Services</w:t>
      </w:r>
      <w:r>
        <w:rPr>
          <w:rFonts w:ascii="Arial" w:cs="Arial" w:eastAsia="Arial" w:hAnsi="Arial"/>
          <w:b w:val="false"/>
          <w:bCs w:val="false"/>
          <w:i w:val="false"/>
          <w:iCs w:val="false"/>
          <w:color w:val="000000"/>
          <w:sz w:val="22"/>
          <w:szCs w:val="22"/>
        </w:rPr>
        <w:t xml:space="preserve"> ("Owners") of the occurrence of Force Majeure events pursuant to </w:t>
      </w:r>
      <w:r>
        <w:rPr>
          <w:rFonts w:ascii="Arial" w:cs="Arial" w:eastAsia="Arial" w:hAnsi="Arial"/>
          <w:b/>
          <w:bCs/>
          <w:i w:val="false"/>
          <w:iCs w:val="false"/>
          <w:color w:val="000000"/>
          <w:sz w:val="22"/>
          <w:szCs w:val="22"/>
        </w:rPr>
        <w:t xml:space="preserve">Clause 35 (Force Majeure)</w:t>
      </w:r>
      <w:r>
        <w:rPr>
          <w:rFonts w:ascii="Arial" w:cs="Arial" w:eastAsia="Arial" w:hAnsi="Arial"/>
          <w:b w:val="false"/>
          <w:bCs w:val="false"/>
          <w:i w:val="false"/>
          <w:iCs w:val="false"/>
          <w:color w:val="000000"/>
          <w:sz w:val="22"/>
          <w:szCs w:val="22"/>
        </w:rPr>
        <w:t xml:space="preserve"> of the Charter Party referenced above.</w:t>
      </w:r>
    </w:p>
    <w:p>
      <w:pPr>
        <w:spacing w:after="200" w:before="0" w:line="276"/>
        <w:jc w:val="left"/>
      </w:pPr>
      <w:r>
        <w:rPr>
          <w:rFonts w:ascii="Arial" w:cs="Arial" w:eastAsia="Arial" w:hAnsi="Arial"/>
          <w:b w:val="false"/>
          <w:bCs w:val="false"/>
          <w:i w:val="false"/>
          <w:iCs w:val="false"/>
          <w:color w:val="000000"/>
          <w:sz w:val="22"/>
          <w:szCs w:val="22"/>
        </w:rPr>
        <w:t xml:space="preserve">This notice is issued within the </w:t>
      </w:r>
      <w:r>
        <w:rPr>
          <w:rFonts w:ascii="Arial" w:cs="Arial" w:eastAsia="Arial" w:hAnsi="Arial"/>
          <w:b/>
          <w:bCs/>
          <w:i w:val="false"/>
          <w:iCs w:val="false"/>
          <w:color w:val="000000"/>
          <w:sz w:val="22"/>
          <w:szCs w:val="22"/>
        </w:rPr>
        <w:t xml:space="preserve">five (5) day written notice period</w:t>
      </w:r>
      <w:r>
        <w:rPr>
          <w:rFonts w:ascii="Arial" w:cs="Arial" w:eastAsia="Arial" w:hAnsi="Arial"/>
          <w:b w:val="false"/>
          <w:bCs w:val="false"/>
          <w:i w:val="false"/>
          <w:iCs w:val="false"/>
          <w:color w:val="000000"/>
          <w:sz w:val="22"/>
          <w:szCs w:val="22"/>
        </w:rPr>
        <w:t xml:space="preserve"> prescribed by Clause 35, paragraph 2, which states: </w:t>
      </w:r>
      <w:r>
        <w:rPr>
          <w:rFonts w:ascii="Arial" w:cs="Arial" w:eastAsia="Arial" w:hAnsi="Arial"/>
          <w:b w:val="false"/>
          <w:bCs w:val="false"/>
          <w:i/>
          <w:iCs/>
          <w:color w:val="000000"/>
          <w:sz w:val="22"/>
          <w:szCs w:val="22"/>
        </w:rPr>
        <w:t xml:space="preserve">"The party seeking to invoke force majeure shall notify the other party in writing within five (5) days of the occurrence of any such event/condition."</w:t>
      </w:r>
    </w:p>
    <w:p>
      <w:pPr>
        <w:pStyle w:val="Heading1"/>
      </w:pPr>
      <w:r>
        <w:rPr>
          <w:rFonts w:ascii="Arial" w:cs="Arial" w:eastAsia="Arial" w:hAnsi="Arial"/>
          <w:b/>
          <w:bCs/>
          <w:i w:val="false"/>
          <w:iCs w:val="false"/>
          <w:color w:val="1F3864"/>
          <w:sz w:val="28"/>
          <w:szCs w:val="28"/>
        </w:rPr>
        <w:t xml:space="preserve">2. FACTUAL BACKGROUND</w:t>
      </w:r>
    </w:p>
    <w:p>
      <w:pPr>
        <w:spacing w:after="160" w:before="0" w:line="276"/>
        <w:jc w:val="left"/>
      </w:pPr>
      <w:r>
        <w:rPr>
          <w:rFonts w:ascii="Arial" w:cs="Arial" w:eastAsia="Arial" w:hAnsi="Arial"/>
          <w:b w:val="false"/>
          <w:bCs w:val="false"/>
          <w:i w:val="false"/>
          <w:iCs w:val="false"/>
          <w:color w:val="000000"/>
          <w:sz w:val="22"/>
          <w:szCs w:val="22"/>
        </w:rPr>
        <w:t xml:space="preserve">On 27 February 2026, the Vessel LCT Bushra cast off from Mina Zayed carrying equipment for the HVDC Interconnector Project and arrived at Al Ghallan Island (AGI) anchorage on the same day. The Vessel secured alongside AGI Berth No. 3 on 28 February 2026 at 0712 hrs.</w:t>
      </w:r>
    </w:p>
    <w:p>
      <w:pPr>
        <w:spacing w:after="160" w:before="0" w:line="276"/>
        <w:jc w:val="left"/>
      </w:pPr>
      <w:r>
        <w:rPr>
          <w:rFonts w:ascii="Arial" w:cs="Arial" w:eastAsia="Arial" w:hAnsi="Arial"/>
          <w:b w:val="false"/>
          <w:bCs w:val="false"/>
          <w:i w:val="false"/>
          <w:iCs w:val="false"/>
          <w:color w:val="000000"/>
          <w:sz w:val="22"/>
          <w:szCs w:val="22"/>
        </w:rPr>
        <w:t xml:space="preserve">On the afternoon of 28 February 2026, a </w:t>
      </w:r>
      <w:r>
        <w:rPr>
          <w:rFonts w:ascii="Arial" w:cs="Arial" w:eastAsia="Arial" w:hAnsi="Arial"/>
          <w:b/>
          <w:bCs/>
          <w:i w:val="false"/>
          <w:iCs w:val="false"/>
          <w:color w:val="000000"/>
          <w:sz w:val="22"/>
          <w:szCs w:val="22"/>
        </w:rPr>
        <w:t xml:space="preserve">security situation</w:t>
      </w:r>
      <w:r>
        <w:rPr>
          <w:rFonts w:ascii="Arial" w:cs="Arial" w:eastAsia="Arial" w:hAnsi="Arial"/>
          <w:b w:val="false"/>
          <w:bCs w:val="false"/>
          <w:i w:val="false"/>
          <w:iCs w:val="false"/>
          <w:color w:val="000000"/>
          <w:sz w:val="22"/>
          <w:szCs w:val="22"/>
        </w:rPr>
        <w:t xml:space="preserve"> was declared at Al Ghallan Island. ADNOC issued directives to </w:t>
      </w:r>
      <w:r>
        <w:rPr>
          <w:rFonts w:ascii="Arial" w:cs="Arial" w:eastAsia="Arial" w:hAnsi="Arial"/>
          <w:b/>
          <w:bCs/>
          <w:i w:val="false"/>
          <w:iCs w:val="false"/>
          <w:color w:val="000000"/>
          <w:sz w:val="22"/>
          <w:szCs w:val="22"/>
        </w:rPr>
        <w:t xml:space="preserve">stop all outdoor work</w:t>
      </w:r>
      <w:r>
        <w:rPr>
          <w:rFonts w:ascii="Arial" w:cs="Arial" w:eastAsia="Arial" w:hAnsi="Arial"/>
          <w:b w:val="false"/>
          <w:bCs w:val="false"/>
          <w:i w:val="false"/>
          <w:iCs w:val="false"/>
          <w:color w:val="000000"/>
          <w:sz w:val="22"/>
          <w:szCs w:val="22"/>
        </w:rPr>
        <w:t xml:space="preserve"> and placed all project teams on standby. ADNOC's own teams and Samsung C&amp;T teams were actively seeking evacuation options. The Vessel was designated as a potential evacuation vessel.</w:t>
      </w:r>
    </w:p>
    <w:p>
      <w:pPr>
        <w:spacing w:after="160" w:before="0" w:line="276"/>
        <w:jc w:val="left"/>
      </w:pPr>
      <w:r>
        <w:rPr>
          <w:rFonts w:ascii="Arial" w:cs="Arial" w:eastAsia="Arial" w:hAnsi="Arial"/>
          <w:b w:val="false"/>
          <w:bCs w:val="false"/>
          <w:i w:val="false"/>
          <w:iCs w:val="false"/>
          <w:color w:val="000000"/>
          <w:sz w:val="22"/>
          <w:szCs w:val="22"/>
        </w:rPr>
        <w:t xml:space="preserve">From 2 March 2026 onwards, the AGI Harbour Master issued a </w:t>
      </w:r>
      <w:r>
        <w:rPr>
          <w:rFonts w:ascii="Arial" w:cs="Arial" w:eastAsia="Arial" w:hAnsi="Arial"/>
          <w:b/>
          <w:bCs/>
          <w:i w:val="false"/>
          <w:iCs w:val="false"/>
          <w:color w:val="000000"/>
          <w:sz w:val="22"/>
          <w:szCs w:val="22"/>
        </w:rPr>
        <w:t xml:space="preserve">cast-off prohibition</w:t>
      </w:r>
      <w:r>
        <w:rPr>
          <w:rFonts w:ascii="Arial" w:cs="Arial" w:eastAsia="Arial" w:hAnsi="Arial"/>
          <w:b w:val="false"/>
          <w:bCs w:val="false"/>
          <w:i w:val="false"/>
          <w:iCs w:val="false"/>
          <w:color w:val="000000"/>
          <w:sz w:val="22"/>
          <w:szCs w:val="22"/>
        </w:rPr>
        <w:t xml:space="preserve">, stating the Vessel may only depart "under his instruction only" as it was placed on </w:t>
      </w:r>
      <w:r>
        <w:rPr>
          <w:rFonts w:ascii="Arial" w:cs="Arial" w:eastAsia="Arial" w:hAnsi="Arial"/>
          <w:b/>
          <w:bCs/>
          <w:i w:val="false"/>
          <w:iCs w:val="false"/>
          <w:color w:val="000000"/>
          <w:sz w:val="22"/>
          <w:szCs w:val="22"/>
        </w:rPr>
        <w:t xml:space="preserve">standby for personnel evacuation</w:t>
      </w:r>
      <w:r>
        <w:rPr>
          <w:rFonts w:ascii="Arial" w:cs="Arial" w:eastAsia="Arial" w:hAnsi="Arial"/>
          <w:b w:val="false"/>
          <w:bCs w:val="false"/>
          <w:i w:val="false"/>
          <w:iCs w:val="false"/>
          <w:color w:val="000000"/>
          <w:sz w:val="22"/>
          <w:szCs w:val="22"/>
        </w:rPr>
        <w:t xml:space="preserve">. This prohibition has remained in effect continuously. On 7 March 2026, the Harbour Master confirmed: </w:t>
      </w:r>
      <w:r>
        <w:rPr>
          <w:rFonts w:ascii="Arial" w:cs="Arial" w:eastAsia="Arial" w:hAnsi="Arial"/>
          <w:b w:val="false"/>
          <w:bCs w:val="false"/>
          <w:i/>
          <w:iCs/>
          <w:color w:val="000000"/>
          <w:sz w:val="22"/>
          <w:szCs w:val="22"/>
        </w:rPr>
        <w:t xml:space="preserve">"No vessel allowed cast off Al Ghallan except for urgent cargo."</w:t>
      </w:r>
    </w:p>
    <w:p>
      <w:pPr>
        <w:spacing w:after="160" w:before="0" w:line="276"/>
        <w:jc w:val="left"/>
      </w:pPr>
      <w:r>
        <w:rPr>
          <w:rFonts w:ascii="Arial" w:cs="Arial" w:eastAsia="Arial" w:hAnsi="Arial"/>
          <w:b w:val="false"/>
          <w:bCs w:val="false"/>
          <w:i w:val="false"/>
          <w:iCs w:val="false"/>
          <w:color w:val="000000"/>
          <w:sz w:val="22"/>
          <w:szCs w:val="22"/>
        </w:rPr>
        <w:t xml:space="preserve">Additionally, during this period, </w:t>
      </w:r>
      <w:r>
        <w:rPr>
          <w:rFonts w:ascii="Arial" w:cs="Arial" w:eastAsia="Arial" w:hAnsi="Arial"/>
          <w:b/>
          <w:bCs/>
          <w:i w:val="false"/>
          <w:iCs w:val="false"/>
          <w:color w:val="000000"/>
          <w:sz w:val="22"/>
          <w:szCs w:val="22"/>
        </w:rPr>
        <w:t xml:space="preserve">extraordinary weather conditions</w:t>
      </w:r>
      <w:r>
        <w:rPr>
          <w:rFonts w:ascii="Arial" w:cs="Arial" w:eastAsia="Arial" w:hAnsi="Arial"/>
          <w:b w:val="false"/>
          <w:bCs w:val="false"/>
          <w:i w:val="false"/>
          <w:iCs w:val="false"/>
          <w:color w:val="000000"/>
          <w:sz w:val="22"/>
          <w:szCs w:val="22"/>
        </w:rPr>
        <w:t xml:space="preserve"> further prevented any vessel transit, with weather reports confirming conditions were "not good enough for transit with any passenger."</w:t>
      </w:r>
    </w:p>
    <w:p>
      <w:pPr>
        <w:spacing w:after="200" w:before="0" w:line="276"/>
        <w:jc w:val="left"/>
      </w:pPr>
      <w:r>
        <w:rPr>
          <w:rFonts w:ascii="Arial" w:cs="Arial" w:eastAsia="Arial" w:hAnsi="Arial"/>
          <w:b w:val="false"/>
          <w:bCs w:val="false"/>
          <w:i w:val="false"/>
          <w:iCs w:val="false"/>
          <w:color w:val="000000"/>
          <w:sz w:val="22"/>
          <w:szCs w:val="22"/>
        </w:rPr>
        <w:t xml:space="preserve">On 8 March 2026, ADNOC confirmed that </w:t>
      </w:r>
      <w:r>
        <w:rPr>
          <w:rFonts w:ascii="Arial" w:cs="Arial" w:eastAsia="Arial" w:hAnsi="Arial"/>
          <w:b/>
          <w:bCs/>
          <w:i w:val="false"/>
          <w:iCs w:val="false"/>
          <w:color w:val="000000"/>
          <w:sz w:val="22"/>
          <w:szCs w:val="22"/>
        </w:rPr>
        <w:t xml:space="preserve">no replacement vessel is available</w:t>
      </w:r>
      <w:r>
        <w:rPr>
          <w:rFonts w:ascii="Arial" w:cs="Arial" w:eastAsia="Arial" w:hAnsi="Arial"/>
          <w:b w:val="false"/>
          <w:bCs w:val="false"/>
          <w:i w:val="false"/>
          <w:iCs w:val="false"/>
          <w:color w:val="000000"/>
          <w:sz w:val="22"/>
          <w:szCs w:val="22"/>
        </w:rPr>
        <w:t xml:space="preserve"> for LCT Bushra, meaning the JOPETWIL 71 operations remain completely suspended with no alternative means of performance.</w:t>
      </w:r>
    </w:p>
    <w:p>
      <w:pPr>
        <w:pStyle w:val="Heading1"/>
      </w:pPr>
      <w:r>
        <w:rPr>
          <w:rFonts w:ascii="Arial" w:cs="Arial" w:eastAsia="Arial" w:hAnsi="Arial"/>
          <w:b/>
          <w:bCs/>
          <w:i w:val="false"/>
          <w:iCs w:val="false"/>
          <w:color w:val="1F3864"/>
          <w:sz w:val="28"/>
          <w:szCs w:val="28"/>
        </w:rPr>
        <w:t xml:space="preserve">3. FORCE MAJEURE GROUNDS UNDER CLAUSE 35</w:t>
      </w:r>
    </w:p>
    <w:p>
      <w:pPr>
        <w:spacing w:after="160" w:before="0" w:line="276"/>
        <w:jc w:val="left"/>
      </w:pPr>
      <w:r>
        <w:rPr>
          <w:rFonts w:ascii="Arial" w:cs="Arial" w:eastAsia="Arial" w:hAnsi="Arial"/>
          <w:b w:val="false"/>
          <w:bCs w:val="false"/>
          <w:i w:val="false"/>
          <w:iCs w:val="false"/>
          <w:color w:val="000000"/>
          <w:sz w:val="22"/>
          <w:szCs w:val="22"/>
        </w:rPr>
        <w:t xml:space="preserve">The events described above constitute Force Majeure under the following sub-clauses of Clause 35:</w:t>
      </w:r>
    </w:p>
    <w:p>
      <w:pPr>
        <w:pStyle w:val="Heading2"/>
      </w:pPr>
      <w:r>
        <w:rPr>
          <w:rFonts w:ascii="Arial" w:cs="Arial" w:eastAsia="Arial" w:hAnsi="Arial"/>
          <w:b/>
          <w:bCs/>
          <w:i w:val="false"/>
          <w:iCs w:val="false"/>
          <w:color w:val="2E75B6"/>
          <w:sz w:val="24"/>
          <w:szCs w:val="24"/>
        </w:rPr>
        <w:t xml:space="preserve">3.1 Clause 35(a) — Acts of God</w:t>
      </w:r>
    </w:p>
    <w:p>
      <w:pPr>
        <w:spacing w:after="160" w:before="0" w:line="276"/>
        <w:jc w:val="left"/>
      </w:pPr>
      <w:r>
        <w:rPr>
          <w:rFonts w:ascii="Arial" w:cs="Arial" w:eastAsia="Arial" w:hAnsi="Arial"/>
          <w:b w:val="false"/>
          <w:bCs w:val="false"/>
          <w:i w:val="false"/>
          <w:iCs w:val="false"/>
          <w:color w:val="000000"/>
          <w:sz w:val="22"/>
          <w:szCs w:val="22"/>
        </w:rPr>
        <w:t xml:space="preserve">Extraordinary weather conditions during the standby period rendered vessel transit unsafe. Weather reports from 1–3 March 2026 confirmed deteriorated sea states that were "not good enough for transit with any passenger." These conditions are beyond the reasonable control of either party.</w:t>
      </w:r>
    </w:p>
    <w:p>
      <w:pPr>
        <w:pStyle w:val="Heading2"/>
      </w:pPr>
      <w:r>
        <w:rPr>
          <w:rFonts w:ascii="Arial" w:cs="Arial" w:eastAsia="Arial" w:hAnsi="Arial"/>
          <w:b/>
          <w:bCs/>
          <w:i w:val="false"/>
          <w:iCs w:val="false"/>
          <w:color w:val="2E75B6"/>
          <w:sz w:val="24"/>
          <w:szCs w:val="24"/>
        </w:rPr>
        <w:t xml:space="preserve">3.2 Clause 35(b) — Government Requisition, Control, Intervention</w:t>
      </w:r>
    </w:p>
    <w:p>
      <w:pPr>
        <w:spacing w:after="160" w:before="0" w:line="276"/>
        <w:jc w:val="left"/>
      </w:pPr>
      <w:r>
        <w:rPr>
          <w:rFonts w:ascii="Arial" w:cs="Arial" w:eastAsia="Arial" w:hAnsi="Arial"/>
          <w:b w:val="false"/>
          <w:bCs w:val="false"/>
          <w:i w:val="false"/>
          <w:iCs w:val="false"/>
          <w:color w:val="000000"/>
          <w:sz w:val="22"/>
          <w:szCs w:val="22"/>
        </w:rPr>
        <w:t xml:space="preserve">The AGI Harbour Master’s cast-off prohibition constitutes direct government control and intervention over the Vessel’s movement. This is not a commercial decision but a </w:t>
      </w:r>
      <w:r>
        <w:rPr>
          <w:rFonts w:ascii="Arial" w:cs="Arial" w:eastAsia="Arial" w:hAnsi="Arial"/>
          <w:b/>
          <w:bCs/>
          <w:i w:val="false"/>
          <w:iCs w:val="false"/>
          <w:color w:val="000000"/>
          <w:sz w:val="22"/>
          <w:szCs w:val="22"/>
        </w:rPr>
        <w:t xml:space="preserve">mandatory regulatory directive</w:t>
      </w:r>
      <w:r>
        <w:rPr>
          <w:rFonts w:ascii="Arial" w:cs="Arial" w:eastAsia="Arial" w:hAnsi="Arial"/>
          <w:b w:val="false"/>
          <w:bCs w:val="false"/>
          <w:i w:val="false"/>
          <w:iCs w:val="false"/>
          <w:color w:val="000000"/>
          <w:sz w:val="22"/>
          <w:szCs w:val="22"/>
        </w:rPr>
        <w:t xml:space="preserve"> from the port authority, acting under ADNOC’s overall security and evacuation framework. The Vessel has been effectively requisitioned for standby evacuation purposes since 2 March 2026.</w:t>
      </w:r>
    </w:p>
    <w:p>
      <w:pPr>
        <w:spacing w:after="160" w:before="0" w:line="276"/>
        <w:jc w:val="left"/>
      </w:pPr>
      <w:r>
        <w:rPr>
          <w:rFonts w:ascii="Arial" w:cs="Arial" w:eastAsia="Arial" w:hAnsi="Arial"/>
          <w:b w:val="false"/>
          <w:bCs w:val="false"/>
          <w:i w:val="false"/>
          <w:iCs w:val="false"/>
          <w:color w:val="000000"/>
          <w:sz w:val="22"/>
          <w:szCs w:val="22"/>
        </w:rPr>
        <w:t xml:space="preserve">Furthermore, ADNOC’s shutdown of all outdoor operations at AGI and placement of all personnel on standby constitutes government-level intervention that has prevented performance of charterer’s operations.</w:t>
      </w:r>
    </w:p>
    <w:p>
      <w:pPr>
        <w:pStyle w:val="Heading2"/>
      </w:pPr>
      <w:r>
        <w:rPr>
          <w:rFonts w:ascii="Arial" w:cs="Arial" w:eastAsia="Arial" w:hAnsi="Arial"/>
          <w:b/>
          <w:bCs/>
          <w:i w:val="false"/>
          <w:iCs w:val="false"/>
          <w:color w:val="2E75B6"/>
          <w:sz w:val="24"/>
          <w:szCs w:val="24"/>
        </w:rPr>
        <w:t xml:space="preserve">3.3 Clause 35(c) — War, Threatened Act of War, Acts of Terrorism</w:t>
      </w:r>
    </w:p>
    <w:p>
      <w:pPr>
        <w:spacing w:after="160" w:before="0" w:line="276"/>
        <w:jc w:val="left"/>
      </w:pPr>
      <w:r>
        <w:rPr>
          <w:rFonts w:ascii="Arial" w:cs="Arial" w:eastAsia="Arial" w:hAnsi="Arial"/>
          <w:b w:val="false"/>
          <w:bCs w:val="false"/>
          <w:i w:val="false"/>
          <w:iCs w:val="false"/>
          <w:color w:val="000000"/>
          <w:sz w:val="22"/>
          <w:szCs w:val="22"/>
        </w:rPr>
        <w:t xml:space="preserve">The "security situation" declared at Al Ghallan Island on 28 February 2026, which triggered the ADNOC shutdown, evacuation protocols, and the Harbour Master’s vessel detention order, falls within the scope of circumstances arising out of threatened acts of war or acts of terrorism, or the consequences thereof. The nature of the security alert necessitated personnel evacuation and designation of LCT Bushra for emergency response.</w:t>
      </w:r>
    </w:p>
    <w:p>
      <w:pPr>
        <w:pStyle w:val="Heading2"/>
      </w:pPr>
      <w:r>
        <w:rPr>
          <w:rFonts w:ascii="Arial" w:cs="Arial" w:eastAsia="Arial" w:hAnsi="Arial"/>
          <w:b/>
          <w:bCs/>
          <w:i w:val="false"/>
          <w:iCs w:val="false"/>
          <w:color w:val="2E75B6"/>
          <w:sz w:val="24"/>
          <w:szCs w:val="24"/>
        </w:rPr>
        <w:t xml:space="preserve">3.4 Clause 35(d) — Blockades or Embargoes</w:t>
      </w:r>
    </w:p>
    <w:p>
      <w:pPr>
        <w:spacing w:after="160" w:before="0" w:line="276"/>
        <w:jc w:val="left"/>
      </w:pPr>
      <w:r>
        <w:rPr>
          <w:rFonts w:ascii="Arial" w:cs="Arial" w:eastAsia="Arial" w:hAnsi="Arial"/>
          <w:b w:val="false"/>
          <w:bCs w:val="false"/>
          <w:i w:val="false"/>
          <w:iCs w:val="false"/>
          <w:color w:val="000000"/>
          <w:sz w:val="22"/>
          <w:szCs w:val="22"/>
        </w:rPr>
        <w:t xml:space="preserve">The Harbour Master’s blanket prohibition on vessel movements at Al Ghallan Island — "No vessel allowed cast off" — constitutes a </w:t>
      </w:r>
      <w:r>
        <w:rPr>
          <w:rFonts w:ascii="Arial" w:cs="Arial" w:eastAsia="Arial" w:hAnsi="Arial"/>
          <w:b/>
          <w:bCs/>
          <w:i w:val="false"/>
          <w:iCs w:val="false"/>
          <w:color w:val="000000"/>
          <w:sz w:val="22"/>
          <w:szCs w:val="22"/>
        </w:rPr>
        <w:t xml:space="preserve">de facto blockade</w:t>
      </w:r>
      <w:r>
        <w:rPr>
          <w:rFonts w:ascii="Arial" w:cs="Arial" w:eastAsia="Arial" w:hAnsi="Arial"/>
          <w:b w:val="false"/>
          <w:bCs w:val="false"/>
          <w:i w:val="false"/>
          <w:iCs w:val="false"/>
          <w:color w:val="000000"/>
          <w:sz w:val="22"/>
          <w:szCs w:val="22"/>
        </w:rPr>
        <w:t xml:space="preserve"> of all maritime traffic in and out of AGI, preventing the Vessel from performing its chartered service.</w:t>
      </w:r>
    </w:p>
    <w:p>
      <w:pPr>
        <w:pStyle w:val="Heading2"/>
      </w:pPr>
      <w:r>
        <w:rPr>
          <w:rFonts w:ascii="Arial" w:cs="Arial" w:eastAsia="Arial" w:hAnsi="Arial"/>
          <w:b/>
          <w:bCs/>
          <w:i w:val="false"/>
          <w:iCs w:val="false"/>
          <w:color w:val="2E75B6"/>
          <w:sz w:val="24"/>
          <w:szCs w:val="24"/>
        </w:rPr>
        <w:t xml:space="preserve">3.5 Clause 35(f) — Extraordinary Weather Conditions</w:t>
      </w:r>
    </w:p>
    <w:p>
      <w:pPr>
        <w:spacing w:after="200" w:before="0" w:line="276"/>
        <w:jc w:val="left"/>
      </w:pPr>
      <w:r>
        <w:rPr>
          <w:rFonts w:ascii="Arial" w:cs="Arial" w:eastAsia="Arial" w:hAnsi="Arial"/>
          <w:b w:val="false"/>
          <w:bCs w:val="false"/>
          <w:i w:val="false"/>
          <w:iCs w:val="false"/>
          <w:color w:val="000000"/>
          <w:sz w:val="22"/>
          <w:szCs w:val="22"/>
        </w:rPr>
        <w:t xml:space="preserve">As noted above, extraordinary weather conditions during the period from 1 to 5 March 2026 independently constituted a Force Majeure event by preventing safe navigation. These weather conditions, compounding the security-related detention, further delayed and hindered performance.</w:t>
      </w:r>
    </w:p>
    <w:p>
      <w:r>
        <w:br w:type="page"/>
      </w:r>
    </w:p>
    <w:p>
      <w:pPr>
        <w:pStyle w:val="Heading1"/>
      </w:pPr>
      <w:r>
        <w:rPr>
          <w:rFonts w:ascii="Arial" w:cs="Arial" w:eastAsia="Arial" w:hAnsi="Arial"/>
          <w:b/>
          <w:bCs/>
          <w:i w:val="false"/>
          <w:iCs w:val="false"/>
          <w:color w:val="1F3864"/>
          <w:sz w:val="28"/>
          <w:szCs w:val="28"/>
        </w:rPr>
        <w:t xml:space="preserve">4. MITIGATION EFFORTS</w:t>
      </w:r>
    </w:p>
    <w:p>
      <w:pPr>
        <w:spacing w:after="120" w:before="0" w:line="276"/>
        <w:jc w:val="left"/>
      </w:pPr>
      <w:r>
        <w:rPr>
          <w:rFonts w:ascii="Arial" w:cs="Arial" w:eastAsia="Arial" w:hAnsi="Arial"/>
          <w:b w:val="false"/>
          <w:bCs w:val="false"/>
          <w:i w:val="false"/>
          <w:iCs w:val="false"/>
          <w:color w:val="000000"/>
          <w:sz w:val="22"/>
          <w:szCs w:val="22"/>
        </w:rPr>
        <w:t xml:space="preserve">In accordance with the requirement under Clause 35 that the invoking party shall have "made all reasonable efforts to avoid, minimize or prevent the effect of such events," the Charterers confirm the following mitigation steps have been undertaken:</w:t>
      </w:r>
    </w:p>
    <w:p>
      <w:pPr>
        <w:pStyle w:val="ListParagraph"/>
        <w:numPr>
          <w:ilvl w:val="0"/>
          <w:numId w:val="2"/>
        </w:numPr>
        <w:spacing w:after="120" w:before="0" w:line="276"/>
        <w:jc w:val="left"/>
      </w:pPr>
      <w:r>
        <w:rPr>
          <w:rFonts w:ascii="Arial" w:cs="Arial" w:eastAsia="Arial" w:hAnsi="Arial"/>
          <w:b w:val="false"/>
          <w:bCs w:val="false"/>
          <w:i w:val="false"/>
          <w:iCs w:val="false"/>
          <w:color w:val="000000"/>
          <w:sz w:val="22"/>
          <w:szCs w:val="22"/>
        </w:rPr>
        <w:t xml:space="preserve">Requested alternative berthing at Mina Zayed, RORO jetty, LMS base, Al Jaber, and MW4 facilities to relocate the Vessel from AGI and resume operations (2 March 2026);</w:t>
      </w:r>
    </w:p>
    <w:p>
      <w:pPr>
        <w:pStyle w:val="ListParagraph"/>
        <w:numPr>
          <w:ilvl w:val="0"/>
          <w:numId w:val="2"/>
        </w:numPr>
        <w:spacing w:after="120" w:before="0" w:line="276"/>
        <w:jc w:val="left"/>
      </w:pPr>
      <w:r>
        <w:rPr>
          <w:rFonts w:ascii="Arial" w:cs="Arial" w:eastAsia="Arial" w:hAnsi="Arial"/>
          <w:b w:val="false"/>
          <w:bCs w:val="false"/>
          <w:i w:val="false"/>
          <w:iCs w:val="false"/>
          <w:color w:val="000000"/>
          <w:sz w:val="22"/>
          <w:szCs w:val="22"/>
        </w:rPr>
        <w:t xml:space="preserve">Obtained Samsung management approval for Vessel to proceed to LMS base for provisioning and layby (2 March 2026);</w:t>
      </w:r>
    </w:p>
    <w:p>
      <w:pPr>
        <w:pStyle w:val="ListParagraph"/>
        <w:numPr>
          <w:ilvl w:val="0"/>
          <w:numId w:val="2"/>
        </w:numPr>
        <w:spacing w:after="120" w:before="0" w:line="276"/>
        <w:jc w:val="left"/>
      </w:pPr>
      <w:r>
        <w:rPr>
          <w:rFonts w:ascii="Arial" w:cs="Arial" w:eastAsia="Arial" w:hAnsi="Arial"/>
          <w:b w:val="false"/>
          <w:bCs w:val="false"/>
          <w:i w:val="false"/>
          <w:iCs w:val="false"/>
          <w:color w:val="000000"/>
          <w:sz w:val="22"/>
          <w:szCs w:val="22"/>
        </w:rPr>
        <w:t xml:space="preserve">Coordinated with ADNOC (Eng. OUDA) to negotiate Vessel release from AGI Harbour Master detention (2–7 March 2026);</w:t>
      </w:r>
    </w:p>
    <w:p>
      <w:pPr>
        <w:pStyle w:val="ListParagraph"/>
        <w:numPr>
          <w:ilvl w:val="0"/>
          <w:numId w:val="2"/>
        </w:numPr>
        <w:spacing w:after="120" w:before="0" w:line="276"/>
        <w:jc w:val="left"/>
      </w:pPr>
      <w:r>
        <w:rPr>
          <w:rFonts w:ascii="Arial" w:cs="Arial" w:eastAsia="Arial" w:hAnsi="Arial"/>
          <w:b w:val="false"/>
          <w:bCs w:val="false"/>
          <w:i w:val="false"/>
          <w:iCs w:val="false"/>
          <w:color w:val="000000"/>
          <w:sz w:val="22"/>
          <w:szCs w:val="22"/>
        </w:rPr>
        <w:t xml:space="preserve">Requested ADNOC Shipping to provide a substitute vessel to release LCT Bushra (7–8 March 2026);</w:t>
      </w:r>
    </w:p>
    <w:p>
      <w:pPr>
        <w:pStyle w:val="ListParagraph"/>
        <w:numPr>
          <w:ilvl w:val="0"/>
          <w:numId w:val="2"/>
        </w:numPr>
        <w:spacing w:after="120" w:before="0" w:line="276"/>
        <w:jc w:val="left"/>
      </w:pPr>
      <w:r>
        <w:rPr>
          <w:rFonts w:ascii="Arial" w:cs="Arial" w:eastAsia="Arial" w:hAnsi="Arial"/>
          <w:b w:val="false"/>
          <w:bCs w:val="false"/>
          <w:i w:val="false"/>
          <w:iCs w:val="false"/>
          <w:color w:val="000000"/>
          <w:sz w:val="22"/>
          <w:szCs w:val="22"/>
        </w:rPr>
        <w:t xml:space="preserve">Continuously monitored berth availability at Mina Zayed and alternative ports (3–9 March 2026);</w:t>
      </w:r>
    </w:p>
    <w:p>
      <w:pPr>
        <w:pStyle w:val="ListParagraph"/>
        <w:numPr>
          <w:ilvl w:val="0"/>
          <w:numId w:val="2"/>
        </w:numPr>
        <w:spacing w:after="200" w:before="0" w:line="276"/>
        <w:jc w:val="left"/>
      </w:pPr>
      <w:r>
        <w:rPr>
          <w:rFonts w:ascii="Arial" w:cs="Arial" w:eastAsia="Arial" w:hAnsi="Arial"/>
          <w:b w:val="false"/>
          <w:bCs w:val="false"/>
          <w:i w:val="false"/>
          <w:iCs w:val="false"/>
          <w:color w:val="000000"/>
          <w:sz w:val="22"/>
          <w:szCs w:val="22"/>
        </w:rPr>
        <w:t xml:space="preserve">Checked tidal windows for next Transformer loading operation to ensure minimal delay upon Vessel release (6 March 2026);</w:t>
      </w:r>
    </w:p>
    <w:p>
      <w:pPr>
        <w:pStyle w:val="Heading1"/>
      </w:pPr>
      <w:r>
        <w:rPr>
          <w:rFonts w:ascii="Arial" w:cs="Arial" w:eastAsia="Arial" w:hAnsi="Arial"/>
          <w:b/>
          <w:bCs/>
          <w:i w:val="false"/>
          <w:iCs w:val="false"/>
          <w:color w:val="1F3864"/>
          <w:sz w:val="28"/>
          <w:szCs w:val="28"/>
        </w:rPr>
        <w:t xml:space="preserve">5. IMPACT ON CHARTER PARTY PERFORMANCE</w:t>
      </w:r>
    </w:p>
    <w:p>
      <w:pPr>
        <w:spacing w:after="120" w:before="0" w:line="276"/>
        <w:jc w:val="left"/>
      </w:pPr>
      <w:r>
        <w:rPr>
          <w:rFonts w:ascii="Arial" w:cs="Arial" w:eastAsia="Arial" w:hAnsi="Arial"/>
          <w:b w:val="false"/>
          <w:bCs w:val="false"/>
          <w:i w:val="false"/>
          <w:iCs w:val="false"/>
          <w:color w:val="000000"/>
          <w:sz w:val="22"/>
          <w:szCs w:val="22"/>
        </w:rPr>
        <w:t xml:space="preserve">As a direct consequence of the above Force Majeure events, the Charterers have been prevented and hindered from performing the following obligations under the Charter Party:</w:t>
      </w:r>
    </w:p>
    <w:p>
      <w:pPr>
        <w:pStyle w:val="ListParagraph"/>
        <w:numPr>
          <w:ilvl w:val="0"/>
          <w:numId w:val="2"/>
        </w:numPr>
        <w:spacing w:after="120" w:before="0" w:line="276"/>
        <w:jc w:val="left"/>
      </w:pPr>
      <w:r>
        <w:rPr>
          <w:rFonts w:ascii="Arial" w:cs="Arial" w:eastAsia="Arial" w:hAnsi="Arial"/>
          <w:b w:val="false"/>
          <w:bCs w:val="false"/>
          <w:i w:val="false"/>
          <w:iCs w:val="false"/>
          <w:color w:val="000000"/>
          <w:sz w:val="22"/>
          <w:szCs w:val="22"/>
        </w:rPr>
        <w:t xml:space="preserve">Loading and transport of Transformer Unit No. 5 (5th of 6 total units) from Mina Zayed to AGI;</w:t>
      </w:r>
    </w:p>
    <w:p>
      <w:pPr>
        <w:pStyle w:val="ListParagraph"/>
        <w:numPr>
          <w:ilvl w:val="0"/>
          <w:numId w:val="2"/>
        </w:numPr>
        <w:spacing w:after="120" w:before="0" w:line="276"/>
        <w:jc w:val="left"/>
      </w:pPr>
      <w:r>
        <w:rPr>
          <w:rFonts w:ascii="Arial" w:cs="Arial" w:eastAsia="Arial" w:hAnsi="Arial"/>
          <w:b w:val="false"/>
          <w:bCs w:val="false"/>
          <w:i w:val="false"/>
          <w:iCs w:val="false"/>
          <w:color w:val="000000"/>
          <w:sz w:val="22"/>
          <w:szCs w:val="22"/>
        </w:rPr>
        <w:t xml:space="preserve">Return of LCT Bushra to Mina Zayed for deck preparation and cargo loading operations;</w:t>
      </w:r>
    </w:p>
    <w:p>
      <w:pPr>
        <w:pStyle w:val="ListParagraph"/>
        <w:numPr>
          <w:ilvl w:val="0"/>
          <w:numId w:val="2"/>
        </w:numPr>
        <w:spacing w:after="160" w:before="0" w:line="276"/>
        <w:jc w:val="left"/>
      </w:pPr>
      <w:r>
        <w:rPr>
          <w:rFonts w:ascii="Arial" w:cs="Arial" w:eastAsia="Arial" w:hAnsi="Arial"/>
          <w:b w:val="false"/>
          <w:bCs w:val="false"/>
          <w:i w:val="false"/>
          <w:iCs w:val="false"/>
          <w:color w:val="000000"/>
          <w:sz w:val="22"/>
          <w:szCs w:val="22"/>
        </w:rPr>
        <w:t xml:space="preserve">Completion of remaining project transport schedule within the charter period ending 31 March 2026;</w:t>
      </w:r>
    </w:p>
    <w:p>
      <w:pPr>
        <w:spacing w:after="200" w:before="0" w:line="276"/>
        <w:jc w:val="left"/>
      </w:pPr>
      <w:r>
        <w:rPr>
          <w:rFonts w:ascii="Arial" w:cs="Arial" w:eastAsia="Arial" w:hAnsi="Arial"/>
          <w:b w:val="false"/>
          <w:bCs w:val="false"/>
          <w:i w:val="false"/>
          <w:iCs w:val="false"/>
          <w:color w:val="000000"/>
          <w:sz w:val="22"/>
          <w:szCs w:val="22"/>
        </w:rPr>
        <w:t xml:space="preserve">The Vessel has been on </w:t>
      </w:r>
      <w:r>
        <w:rPr>
          <w:rFonts w:ascii="Arial" w:cs="Arial" w:eastAsia="Arial" w:hAnsi="Arial"/>
          <w:b/>
          <w:bCs/>
          <w:i w:val="false"/>
          <w:iCs w:val="false"/>
          <w:color w:val="000000"/>
          <w:sz w:val="22"/>
          <w:szCs w:val="22"/>
        </w:rPr>
        <w:t xml:space="preserve">involuntary standby at AGI since 2 March 2026</w:t>
      </w:r>
      <w:r>
        <w:rPr>
          <w:rFonts w:ascii="Arial" w:cs="Arial" w:eastAsia="Arial" w:hAnsi="Arial"/>
          <w:b w:val="false"/>
          <w:bCs w:val="false"/>
          <w:i w:val="false"/>
          <w:iCs w:val="false"/>
          <w:color w:val="000000"/>
          <w:sz w:val="22"/>
          <w:szCs w:val="22"/>
        </w:rPr>
        <w:t xml:space="preserve">, accumulating daily hire charges of US$ 12,000 (per Amendment No. 1) without any productive utilization. As of 9 March 2026, the cumulative cost impact of the FM-related standby period is </w:t>
      </w:r>
      <w:r>
        <w:rPr>
          <w:rFonts w:ascii="Arial" w:cs="Arial" w:eastAsia="Arial" w:hAnsi="Arial"/>
          <w:b/>
          <w:bCs/>
          <w:i w:val="false"/>
          <w:iCs w:val="false"/>
          <w:color w:val="000000"/>
          <w:sz w:val="22"/>
          <w:szCs w:val="22"/>
        </w:rPr>
        <w:t xml:space="preserve">US$ 96,000</w:t>
      </w:r>
      <w:r>
        <w:rPr>
          <w:rFonts w:ascii="Arial" w:cs="Arial" w:eastAsia="Arial" w:hAnsi="Arial"/>
          <w:b w:val="false"/>
          <w:bCs w:val="false"/>
          <w:i w:val="false"/>
          <w:iCs w:val="false"/>
          <w:color w:val="000000"/>
          <w:sz w:val="22"/>
          <w:szCs w:val="22"/>
        </w:rPr>
        <w:t xml:space="preserve"> (8 days × US$ 12,000/day), excluding applicable VAT.</w:t>
      </w:r>
    </w:p>
    <w:p>
      <w:pPr>
        <w:pStyle w:val="Heading1"/>
      </w:pPr>
      <w:r>
        <w:rPr>
          <w:rFonts w:ascii="Arial" w:cs="Arial" w:eastAsia="Arial" w:hAnsi="Arial"/>
          <w:b/>
          <w:bCs/>
          <w:i w:val="false"/>
          <w:iCs w:val="false"/>
          <w:color w:val="1F3864"/>
          <w:sz w:val="28"/>
          <w:szCs w:val="28"/>
        </w:rPr>
        <w:t xml:space="preserve">6. RELIEF SOUGHT</w:t>
      </w:r>
    </w:p>
    <w:p>
      <w:pPr>
        <w:spacing w:after="120" w:before="0" w:line="276"/>
        <w:jc w:val="left"/>
      </w:pPr>
      <w:r>
        <w:rPr>
          <w:rFonts w:ascii="Arial" w:cs="Arial" w:eastAsia="Arial" w:hAnsi="Arial"/>
          <w:b w:val="false"/>
          <w:bCs w:val="false"/>
          <w:i w:val="false"/>
          <w:iCs w:val="false"/>
          <w:color w:val="000000"/>
          <w:sz w:val="22"/>
          <w:szCs w:val="22"/>
        </w:rPr>
        <w:t xml:space="preserve">By this notice, the Charterers seek the following relief in connection with the Force Majeure events:</w:t>
      </w:r>
    </w:p>
    <w:p>
      <w:pPr>
        <w:spacing w:after="100" w:before="0" w:line="276"/>
        <w:jc w:val="left"/>
      </w:pPr>
      <w:r>
        <w:rPr>
          <w:rFonts w:ascii="Arial" w:cs="Arial" w:eastAsia="Arial" w:hAnsi="Arial"/>
          <w:b/>
          <w:bCs/>
          <w:i w:val="false"/>
          <w:iCs w:val="false"/>
          <w:color w:val="000000"/>
          <w:sz w:val="22"/>
          <w:szCs w:val="22"/>
        </w:rPr>
        <w:t xml:space="preserve">(a) </w:t>
      </w:r>
      <w:r>
        <w:rPr>
          <w:rFonts w:ascii="Arial" w:cs="Arial" w:eastAsia="Arial" w:hAnsi="Arial"/>
          <w:b/>
          <w:bCs/>
          <w:i w:val="false"/>
          <w:iCs w:val="false"/>
          <w:color w:val="000000"/>
          <w:sz w:val="22"/>
          <w:szCs w:val="22"/>
        </w:rPr>
        <w:t xml:space="preserve">Acknowledgment</w:t>
      </w:r>
      <w:r>
        <w:rPr>
          <w:rFonts w:ascii="Arial" w:cs="Arial" w:eastAsia="Arial" w:hAnsi="Arial"/>
          <w:b w:val="false"/>
          <w:bCs w:val="false"/>
          <w:i w:val="false"/>
          <w:iCs w:val="false"/>
          <w:color w:val="000000"/>
          <w:sz w:val="22"/>
          <w:szCs w:val="22"/>
        </w:rPr>
        <w:t xml:space="preserve"> by Owners that the events described herein constitute Force Majeure under Clause 35;</w:t>
      </w:r>
    </w:p>
    <w:p>
      <w:pPr>
        <w:spacing w:after="100" w:before="0" w:line="276"/>
        <w:jc w:val="left"/>
      </w:pPr>
      <w:r>
        <w:rPr>
          <w:rFonts w:ascii="Arial" w:cs="Arial" w:eastAsia="Arial" w:hAnsi="Arial"/>
          <w:b/>
          <w:bCs/>
          <w:i w:val="false"/>
          <w:iCs w:val="false"/>
          <w:color w:val="000000"/>
          <w:sz w:val="22"/>
          <w:szCs w:val="22"/>
        </w:rPr>
        <w:t xml:space="preserve">(b) </w:t>
      </w:r>
      <w:r>
        <w:rPr>
          <w:rFonts w:ascii="Arial" w:cs="Arial" w:eastAsia="Arial" w:hAnsi="Arial"/>
          <w:b/>
          <w:bCs/>
          <w:i w:val="false"/>
          <w:iCs w:val="false"/>
          <w:color w:val="000000"/>
          <w:sz w:val="22"/>
          <w:szCs w:val="22"/>
        </w:rPr>
        <w:t xml:space="preserve">Release from liability</w:t>
      </w:r>
      <w:r>
        <w:rPr>
          <w:rFonts w:ascii="Arial" w:cs="Arial" w:eastAsia="Arial" w:hAnsi="Arial"/>
          <w:b w:val="false"/>
          <w:bCs w:val="false"/>
          <w:i w:val="false"/>
          <w:iCs w:val="false"/>
          <w:color w:val="000000"/>
          <w:sz w:val="22"/>
          <w:szCs w:val="22"/>
        </w:rPr>
        <w:t xml:space="preserve"> for any loss, damage, or delay arising from the Force Majeure period in accordance with Clause 35;</w:t>
      </w:r>
    </w:p>
    <w:p>
      <w:pPr>
        <w:spacing w:after="100" w:before="0" w:line="276"/>
        <w:jc w:val="left"/>
      </w:pPr>
      <w:r>
        <w:rPr>
          <w:rFonts w:ascii="Arial" w:cs="Arial" w:eastAsia="Arial" w:hAnsi="Arial"/>
          <w:b/>
          <w:bCs/>
          <w:i w:val="false"/>
          <w:iCs w:val="false"/>
          <w:color w:val="000000"/>
          <w:sz w:val="22"/>
          <w:szCs w:val="22"/>
        </w:rPr>
        <w:t xml:space="preserve">(c) </w:t>
      </w:r>
      <w:r>
        <w:rPr>
          <w:rFonts w:ascii="Arial" w:cs="Arial" w:eastAsia="Arial" w:hAnsi="Arial"/>
          <w:b/>
          <w:bCs/>
          <w:i w:val="false"/>
          <w:iCs w:val="false"/>
          <w:color w:val="000000"/>
          <w:sz w:val="22"/>
          <w:szCs w:val="22"/>
        </w:rPr>
        <w:t xml:space="preserve">Good faith discussion</w:t>
      </w:r>
      <w:r>
        <w:rPr>
          <w:rFonts w:ascii="Arial" w:cs="Arial" w:eastAsia="Arial" w:hAnsi="Arial"/>
          <w:b w:val="false"/>
          <w:bCs w:val="false"/>
          <w:i w:val="false"/>
          <w:iCs w:val="false"/>
          <w:color w:val="000000"/>
          <w:sz w:val="22"/>
          <w:szCs w:val="22"/>
        </w:rPr>
        <w:t xml:space="preserve"> regarding the equitable treatment of hire charges during the period the Vessel is detained by Force Majeure events beyond the Charterers' control, noting that Clause 13(a) off-hire provisions do not provide relief in FM scenarios;</w:t>
      </w:r>
    </w:p>
    <w:p>
      <w:pPr>
        <w:spacing w:after="200" w:before="0" w:line="276"/>
        <w:jc w:val="left"/>
      </w:pPr>
      <w:r>
        <w:rPr>
          <w:rFonts w:ascii="Arial" w:cs="Arial" w:eastAsia="Arial" w:hAnsi="Arial"/>
          <w:b/>
          <w:bCs/>
          <w:i w:val="false"/>
          <w:iCs w:val="false"/>
          <w:color w:val="000000"/>
          <w:sz w:val="22"/>
          <w:szCs w:val="22"/>
        </w:rPr>
        <w:t xml:space="preserve">(d) </w:t>
      </w:r>
      <w:r>
        <w:rPr>
          <w:rFonts w:ascii="Arial" w:cs="Arial" w:eastAsia="Arial" w:hAnsi="Arial"/>
          <w:b/>
          <w:bCs/>
          <w:i w:val="false"/>
          <w:iCs w:val="false"/>
          <w:color w:val="000000"/>
          <w:sz w:val="22"/>
          <w:szCs w:val="22"/>
        </w:rPr>
        <w:t xml:space="preserve">Cooperation</w:t>
      </w:r>
      <w:r>
        <w:rPr>
          <w:rFonts w:ascii="Arial" w:cs="Arial" w:eastAsia="Arial" w:hAnsi="Arial"/>
          <w:b w:val="false"/>
          <w:bCs w:val="false"/>
          <w:i w:val="false"/>
          <w:iCs w:val="false"/>
          <w:color w:val="000000"/>
          <w:sz w:val="22"/>
          <w:szCs w:val="22"/>
        </w:rPr>
        <w:t xml:space="preserve"> in securing the Vessel's earliest possible release from AGI to resume chartered operations.</w:t>
      </w:r>
    </w:p>
    <w:p>
      <w:pPr>
        <w:pStyle w:val="Heading1"/>
      </w:pPr>
      <w:r>
        <w:rPr>
          <w:rFonts w:ascii="Arial" w:cs="Arial" w:eastAsia="Arial" w:hAnsi="Arial"/>
          <w:b/>
          <w:bCs/>
          <w:i w:val="false"/>
          <w:iCs w:val="false"/>
          <w:color w:val="1F3864"/>
          <w:sz w:val="28"/>
          <w:szCs w:val="28"/>
        </w:rPr>
        <w:t xml:space="preserve">7. RESERVATION OF RIGHTS</w:t>
      </w:r>
    </w:p>
    <w:p>
      <w:pPr>
        <w:spacing w:after="120" w:before="0" w:line="276"/>
        <w:jc w:val="left"/>
      </w:pPr>
      <w:r>
        <w:rPr>
          <w:rFonts w:ascii="Arial" w:cs="Arial" w:eastAsia="Arial" w:hAnsi="Arial"/>
          <w:b w:val="false"/>
          <w:bCs w:val="false"/>
          <w:i w:val="false"/>
          <w:iCs w:val="false"/>
          <w:color w:val="000000"/>
          <w:sz w:val="22"/>
          <w:szCs w:val="22"/>
        </w:rPr>
        <w:t xml:space="preserve">This Notice is issued without prejudice to any and all rights and remedies available to the Charterers under the Charter Party, at law, or in equity, including but not limited to:</w:t>
      </w:r>
    </w:p>
    <w:p>
      <w:pPr>
        <w:pStyle w:val="ListParagraph"/>
        <w:numPr>
          <w:ilvl w:val="0"/>
          <w:numId w:val="2"/>
        </w:numPr>
        <w:spacing w:after="120" w:before="0" w:line="276"/>
        <w:jc w:val="left"/>
      </w:pPr>
      <w:r>
        <w:rPr>
          <w:rFonts w:ascii="Arial" w:cs="Arial" w:eastAsia="Arial" w:hAnsi="Arial"/>
          <w:b w:val="false"/>
          <w:bCs w:val="false"/>
          <w:i w:val="false"/>
          <w:iCs w:val="false"/>
          <w:color w:val="000000"/>
          <w:sz w:val="22"/>
          <w:szCs w:val="22"/>
        </w:rPr>
        <w:t xml:space="preserve">Rights under Clause 33 (Lay-Up) — a separate notice regarding Lay-Up has been issued concurrently;</w:t>
      </w:r>
    </w:p>
    <w:p>
      <w:pPr>
        <w:pStyle w:val="ListParagraph"/>
        <w:numPr>
          <w:ilvl w:val="0"/>
          <w:numId w:val="2"/>
        </w:numPr>
        <w:spacing w:after="120" w:before="0" w:line="276"/>
        <w:jc w:val="left"/>
      </w:pPr>
      <w:r>
        <w:rPr>
          <w:rFonts w:ascii="Arial" w:cs="Arial" w:eastAsia="Arial" w:hAnsi="Arial"/>
          <w:b w:val="false"/>
          <w:bCs w:val="false"/>
          <w:i w:val="false"/>
          <w:iCs w:val="false"/>
          <w:color w:val="000000"/>
          <w:sz w:val="22"/>
          <w:szCs w:val="22"/>
        </w:rPr>
        <w:t xml:space="preserve">Rights under Clause 14(b) (Excluded Losses) regarding consequential losses;</w:t>
      </w:r>
    </w:p>
    <w:p>
      <w:pPr>
        <w:pStyle w:val="ListParagraph"/>
        <w:numPr>
          <w:ilvl w:val="0"/>
          <w:numId w:val="2"/>
        </w:numPr>
        <w:spacing w:after="120" w:before="0" w:line="276"/>
        <w:jc w:val="left"/>
      </w:pPr>
      <w:r>
        <w:rPr>
          <w:rFonts w:ascii="Arial" w:cs="Arial" w:eastAsia="Arial" w:hAnsi="Arial"/>
          <w:b w:val="false"/>
          <w:bCs w:val="false"/>
          <w:i w:val="false"/>
          <w:iCs w:val="false"/>
          <w:color w:val="000000"/>
          <w:sz w:val="22"/>
          <w:szCs w:val="22"/>
        </w:rPr>
        <w:t xml:space="preserve">Rights under UAE Civil Code Article 249 regarding equitable adjustment of contractual obligations due to exceptional and unforeseen circumstances;</w:t>
      </w:r>
    </w:p>
    <w:p>
      <w:pPr>
        <w:pStyle w:val="ListParagraph"/>
        <w:numPr>
          <w:ilvl w:val="0"/>
          <w:numId w:val="2"/>
        </w:numPr>
        <w:spacing w:after="200" w:before="0" w:line="276"/>
        <w:jc w:val="left"/>
      </w:pPr>
      <w:r>
        <w:rPr>
          <w:rFonts w:ascii="Arial" w:cs="Arial" w:eastAsia="Arial" w:hAnsi="Arial"/>
          <w:b w:val="false"/>
          <w:bCs w:val="false"/>
          <w:i w:val="false"/>
          <w:iCs w:val="false"/>
          <w:color w:val="000000"/>
          <w:sz w:val="22"/>
          <w:szCs w:val="22"/>
        </w:rPr>
        <w:t xml:space="preserve">Rights under Additional Clause 43 (ICC Arbitration, Abu Dhabi seat) should dispute resolution become necessary.</w:t>
      </w:r>
    </w:p>
    <w:p>
      <w:pPr>
        <w:pStyle w:val="Heading1"/>
      </w:pPr>
      <w:r>
        <w:rPr>
          <w:rFonts w:ascii="Arial" w:cs="Arial" w:eastAsia="Arial" w:hAnsi="Arial"/>
          <w:b/>
          <w:bCs/>
          <w:i w:val="false"/>
          <w:iCs w:val="false"/>
          <w:color w:val="1F3864"/>
          <w:sz w:val="28"/>
          <w:szCs w:val="28"/>
        </w:rPr>
        <w:t xml:space="preserve">8. ENCLOSURES</w:t>
      </w:r>
    </w:p>
    <w:p>
      <w:pPr>
        <w:spacing w:after="120" w:before="0" w:line="276"/>
        <w:jc w:val="left"/>
      </w:pPr>
      <w:r>
        <w:rPr>
          <w:rFonts w:ascii="Arial" w:cs="Arial" w:eastAsia="Arial" w:hAnsi="Arial"/>
          <w:b w:val="false"/>
          <w:bCs w:val="false"/>
          <w:i w:val="false"/>
          <w:iCs w:val="false"/>
          <w:color w:val="000000"/>
          <w:sz w:val="22"/>
          <w:szCs w:val="22"/>
        </w:rPr>
        <w:t xml:space="preserve">The following documents are enclosed in support of this Force Majeure Notice:</w:t>
      </w:r>
    </w:p>
    <w:p>
      <w:pPr>
        <w:spacing w:after="80" w:before="0" w:line="276"/>
        <w:jc w:val="left"/>
      </w:pPr>
      <w:r>
        <w:rPr>
          <w:rFonts w:ascii="Arial" w:cs="Arial" w:eastAsia="Arial" w:hAnsi="Arial"/>
          <w:b/>
          <w:bCs/>
          <w:i w:val="false"/>
          <w:iCs w:val="false"/>
          <w:color w:val="000000"/>
          <w:sz w:val="22"/>
          <w:szCs w:val="22"/>
        </w:rPr>
        <w:t xml:space="preserve">Enclosure 1: </w:t>
      </w:r>
      <w:r>
        <w:rPr>
          <w:rFonts w:ascii="Arial" w:cs="Arial" w:eastAsia="Arial" w:hAnsi="Arial"/>
          <w:b w:val="false"/>
          <w:bCs w:val="false"/>
          <w:i w:val="false"/>
          <w:iCs w:val="false"/>
          <w:color w:val="000000"/>
          <w:sz w:val="22"/>
          <w:szCs w:val="22"/>
        </w:rPr>
        <w:t xml:space="preserve">Chronology Report — Detailed timeline of FM events based on operational communications (28 Feb – 9 Mar 2026)</w:t>
      </w:r>
    </w:p>
    <w:p>
      <w:pPr>
        <w:spacing w:after="80" w:before="0" w:line="276"/>
        <w:jc w:val="left"/>
      </w:pPr>
      <w:r>
        <w:rPr>
          <w:rFonts w:ascii="Arial" w:cs="Arial" w:eastAsia="Arial" w:hAnsi="Arial"/>
          <w:b/>
          <w:bCs/>
          <w:i w:val="false"/>
          <w:iCs w:val="false"/>
          <w:color w:val="000000"/>
          <w:sz w:val="22"/>
          <w:szCs w:val="22"/>
        </w:rPr>
        <w:t xml:space="preserve">Enclosure 2: </w:t>
      </w:r>
      <w:r>
        <w:rPr>
          <w:rFonts w:ascii="Arial" w:cs="Arial" w:eastAsia="Arial" w:hAnsi="Arial"/>
          <w:b w:val="false"/>
          <w:bCs w:val="false"/>
          <w:i w:val="false"/>
          <w:iCs w:val="false"/>
          <w:color w:val="000000"/>
          <w:sz w:val="22"/>
          <w:szCs w:val="22"/>
        </w:rPr>
        <w:t xml:space="preserve">WhatsApp operational logs — JOPETWIL 71 Group &amp; LCT Bushra Group (source evidence)</w:t>
      </w:r>
    </w:p>
    <w:p>
      <w:pPr>
        <w:spacing w:after="200" w:before="0" w:line="276"/>
        <w:jc w:val="left"/>
      </w:pPr>
      <w:r>
        <w:rPr>
          <w:rFonts w:ascii="Arial" w:cs="Arial" w:eastAsia="Arial" w:hAnsi="Arial"/>
          <w:b/>
          <w:bCs/>
          <w:i w:val="false"/>
          <w:iCs w:val="false"/>
          <w:color w:val="000000"/>
          <w:sz w:val="22"/>
          <w:szCs w:val="22"/>
        </w:rPr>
        <w:t xml:space="preserve">Enclosure 3: </w:t>
      </w:r>
      <w:r>
        <w:rPr>
          <w:rFonts w:ascii="Arial" w:cs="Arial" w:eastAsia="Arial" w:hAnsi="Arial"/>
          <w:b w:val="false"/>
          <w:bCs w:val="false"/>
          <w:i w:val="false"/>
          <w:iCs w:val="false"/>
          <w:color w:val="000000"/>
          <w:sz w:val="22"/>
          <w:szCs w:val="22"/>
        </w:rPr>
        <w:t xml:space="preserve">Charter Party Cost Analysis Report (ref: JOPETWIL71_Charter_Cost_Analysis_20260309)</w:t>
      </w:r>
    </w:p>
    <w:p>
      <w:pPr>
        <w:spacing w:after="160" w:before="0" w:line="276"/>
        <w:jc w:val="left"/>
      </w:pPr>
      <w:r>
        <w:rPr>
          <w:rFonts w:ascii="Arial" w:cs="Arial" w:eastAsia="Arial" w:hAnsi="Arial"/>
          <w:b w:val="false"/>
          <w:bCs w:val="false"/>
          <w:i w:val="false"/>
          <w:iCs w:val="false"/>
          <w:color w:val="000000"/>
          <w:sz w:val="22"/>
          <w:szCs w:val="22"/>
        </w:rPr>
        <w:t xml:space="preserve">We request your prompt acknowledgment of this Notice and look forward to your cooperation in resolving this matter in accordance with the terms of the Charter Party.</w:t>
      </w:r>
    </w:p>
    <w:p>
      <w:pPr>
        <w:spacing w:after="300" w:before="0" w:line="276"/>
        <w:jc w:val="left"/>
      </w:pPr>
      <w:r>
        <w:rPr>
          <w:rFonts w:ascii="Arial" w:cs="Arial" w:eastAsia="Arial" w:hAnsi="Arial"/>
          <w:b w:val="false"/>
          <w:bCs w:val="false"/>
          <w:i w:val="false"/>
          <w:iCs w:val="false"/>
          <w:color w:val="000000"/>
          <w:sz w:val="22"/>
          <w:szCs w:val="22"/>
        </w:rPr>
        <w:t xml:space="preserve">This Notice shall be deemed effective as of the date first written above.</w:t>
      </w:r>
    </w:p>
    <w:p>
      <w:pPr>
        <w:spacing w:after="200" w:before="0" w:line="276"/>
        <w:jc w:val="left"/>
      </w:pPr>
      <w:r>
        <w:rPr>
          <w:rFonts w:ascii="Arial" w:cs="Arial" w:eastAsia="Arial" w:hAnsi="Arial"/>
          <w:b w:val="false"/>
          <w:bCs w:val="false"/>
          <w:i w:val="false"/>
          <w:iCs w:val="false"/>
          <w:color w:val="000000"/>
          <w:sz w:val="22"/>
          <w:szCs w:val="22"/>
        </w:rPr>
        <w:t xml:space="preserve">Yours faithfully,</w:t>
      </w:r>
    </w:p>
    <w:p>
      <w:pPr>
        <w:spacing w:after="40" w:before="0" w:line="276"/>
        <w:jc w:val="left"/>
      </w:pPr>
      <w:r>
        <w:rPr>
          <w:rFonts w:ascii="Arial" w:cs="Arial" w:eastAsia="Arial" w:hAnsi="Arial"/>
          <w:b w:val="false"/>
          <w:bCs w:val="false"/>
          <w:i w:val="false"/>
          <w:iCs w:val="false"/>
          <w:color w:val="000000"/>
          <w:sz w:val="22"/>
          <w:szCs w:val="22"/>
        </w:rPr>
        <w:t xml:space="preserve">For and on behalf of</w:t>
      </w:r>
    </w:p>
    <w:p>
      <w:pPr>
        <w:spacing w:after="40" w:before="0" w:line="276"/>
        <w:jc w:val="left"/>
      </w:pPr>
      <w:r>
        <w:rPr>
          <w:rFonts w:ascii="Arial" w:cs="Arial" w:eastAsia="Arial" w:hAnsi="Arial"/>
          <w:b/>
          <w:bCs/>
          <w:i w:val="false"/>
          <w:iCs w:val="false"/>
          <w:color w:val="000000"/>
          <w:sz w:val="22"/>
          <w:szCs w:val="22"/>
        </w:rPr>
        <w:t xml:space="preserve">SAMSUNG C&amp;T CORPORATION</w:t>
      </w:r>
    </w:p>
    <w:p>
      <w:pPr>
        <w:spacing w:after="300" w:before="0" w:line="276"/>
        <w:jc w:val="left"/>
      </w:pPr>
      <w:r>
        <w:rPr>
          <w:rFonts w:ascii="Arial" w:cs="Arial" w:eastAsia="Arial" w:hAnsi="Arial"/>
          <w:b w:val="false"/>
          <w:bCs w:val="false"/>
          <w:i w:val="false"/>
          <w:iCs w:val="false"/>
          <w:color w:val="000000"/>
          <w:sz w:val="22"/>
          <w:szCs w:val="22"/>
        </w:rPr>
        <w:t xml:space="preserve">Engineering &amp; Construction Group</w:t>
      </w:r>
    </w:p>
    <w:p>
      <w:pPr>
        <w:spacing w:after="40" w:before="0" w:line="276"/>
        <w:jc w:val="left"/>
      </w:pPr>
      <w:r>
        <w:rPr>
          <w:rFonts w:ascii="Arial" w:cs="Arial" w:eastAsia="Arial" w:hAnsi="Arial"/>
          <w:b w:val="false"/>
          <w:bCs w:val="false"/>
          <w:i w:val="false"/>
          <w:iCs w:val="false"/>
          <w:color w:val="000000"/>
          <w:sz w:val="22"/>
          <w:szCs w:val="22"/>
        </w:rPr>
        <w:t xml:space="preserve">_______________________________</w:t>
      </w:r>
    </w:p>
    <w:p>
      <w:pPr>
        <w:spacing w:after="40" w:before="0" w:line="276"/>
        <w:jc w:val="left"/>
      </w:pPr>
      <w:r>
        <w:rPr>
          <w:rFonts w:ascii="Arial" w:cs="Arial" w:eastAsia="Arial" w:hAnsi="Arial"/>
          <w:b w:val="false"/>
          <w:bCs w:val="false"/>
          <w:i w:val="false"/>
          <w:iCs w:val="false"/>
          <w:color w:val="000000"/>
          <w:sz w:val="22"/>
          <w:szCs w:val="22"/>
        </w:rPr>
        <w:t xml:space="preserve">Authorized Signatory</w:t>
      </w:r>
    </w:p>
    <w:p>
      <w:pPr>
        <w:spacing w:after="40" w:before="0" w:line="276"/>
        <w:jc w:val="left"/>
      </w:pPr>
      <w:r>
        <w:rPr>
          <w:rFonts w:ascii="Arial" w:cs="Arial" w:eastAsia="Arial" w:hAnsi="Arial"/>
          <w:b w:val="false"/>
          <w:bCs w:val="false"/>
          <w:i w:val="false"/>
          <w:iCs w:val="false"/>
          <w:color w:val="000000"/>
          <w:sz w:val="22"/>
          <w:szCs w:val="22"/>
        </w:rPr>
        <w:t xml:space="preserve">Project Logistics / SCM Department</w:t>
      </w:r>
    </w:p>
    <w:p>
      <w:pPr>
        <w:spacing w:after="200" w:before="0" w:line="276"/>
        <w:jc w:val="left"/>
      </w:pPr>
      <w:r>
        <w:rPr>
          <w:rFonts w:ascii="Arial" w:cs="Arial" w:eastAsia="Arial" w:hAnsi="Arial"/>
          <w:b w:val="false"/>
          <w:bCs w:val="false"/>
          <w:i w:val="false"/>
          <w:iCs w:val="false"/>
          <w:color w:val="000000"/>
          <w:sz w:val="22"/>
          <w:szCs w:val="22"/>
        </w:rPr>
        <w:t xml:space="preserve">HVDC Interconnector Project</w:t>
      </w:r>
    </w:p>
    <w:p>
      <w:pPr>
        <w:spacing w:after="40" w:before="0" w:line="276"/>
        <w:jc w:val="left"/>
      </w:pPr>
      <w:r>
        <w:rPr>
          <w:rFonts w:ascii="Arial" w:cs="Arial" w:eastAsia="Arial" w:hAnsi="Arial"/>
          <w:b/>
          <w:bCs/>
          <w:i w:val="false"/>
          <w:iCs w:val="false"/>
          <w:color w:val="000000"/>
          <w:sz w:val="20"/>
          <w:szCs w:val="20"/>
        </w:rPr>
        <w:t xml:space="preserve">cc:</w:t>
      </w:r>
    </w:p>
    <w:p>
      <w:pPr>
        <w:spacing w:after="20" w:before="0" w:line="276"/>
        <w:ind w:left="360"/>
        <w:jc w:val="left"/>
      </w:pPr>
      <w:r>
        <w:rPr>
          <w:rFonts w:ascii="Arial" w:cs="Arial" w:eastAsia="Arial" w:hAnsi="Arial"/>
          <w:b w:val="false"/>
          <w:bCs w:val="false"/>
          <w:i w:val="false"/>
          <w:iCs w:val="false"/>
          <w:color w:val="000000"/>
          <w:sz w:val="20"/>
          <w:szCs w:val="20"/>
        </w:rPr>
        <w:t xml:space="preserve">Samsung C&amp;T — Project Director, HVDC Interconnector</w:t>
      </w:r>
    </w:p>
    <w:p>
      <w:pPr>
        <w:spacing w:after="20" w:before="0" w:line="276"/>
        <w:ind w:left="360"/>
        <w:jc w:val="left"/>
      </w:pPr>
      <w:r>
        <w:rPr>
          <w:rFonts w:ascii="Arial" w:cs="Arial" w:eastAsia="Arial" w:hAnsi="Arial"/>
          <w:b w:val="false"/>
          <w:bCs w:val="false"/>
          <w:i w:val="false"/>
          <w:iCs w:val="false"/>
          <w:color w:val="000000"/>
          <w:sz w:val="20"/>
          <w:szCs w:val="20"/>
        </w:rPr>
        <w:t xml:space="preserve">Samsung C&amp;T — Contract Manager</w:t>
      </w:r>
    </w:p>
    <w:p>
      <w:pPr>
        <w:spacing w:after="20" w:before="0" w:line="276"/>
        <w:ind w:left="360"/>
        <w:jc w:val="left"/>
      </w:pPr>
      <w:r>
        <w:rPr>
          <w:rFonts w:ascii="Arial" w:cs="Arial" w:eastAsia="Arial" w:hAnsi="Arial"/>
          <w:b w:val="false"/>
          <w:bCs w:val="false"/>
          <w:i w:val="false"/>
          <w:iCs w:val="false"/>
          <w:color w:val="000000"/>
          <w:sz w:val="20"/>
          <w:szCs w:val="20"/>
        </w:rPr>
        <w:t xml:space="preserve">Samsung C&amp;T — SCM HQ, Seoul</w:t>
      </w:r>
    </w:p>
    <w:p>
      <w:pPr>
        <w:spacing w:after="20" w:before="0" w:line="276"/>
        <w:ind w:left="360"/>
        <w:jc w:val="left"/>
      </w:pPr>
      <w:r>
        <w:rPr>
          <w:rFonts w:ascii="Arial" w:cs="Arial" w:eastAsia="Arial" w:hAnsi="Arial"/>
          <w:b w:val="false"/>
          <w:bCs w:val="false"/>
          <w:i w:val="false"/>
          <w:iCs w:val="false"/>
          <w:color w:val="000000"/>
          <w:sz w:val="20"/>
          <w:szCs w:val="20"/>
        </w:rPr>
        <w:t xml:space="preserve">Samsung C&amp;T — Legal Department</w:t>
      </w:r>
    </w:p>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40" w:before="0" w:line="276"/>
        <w:jc w:val="center"/>
      </w:pPr>
      <w:r>
        <w:rPr>
          <w:rFonts w:ascii="Arial" w:cs="Arial" w:eastAsia="Arial" w:hAnsi="Arial"/>
          <w:b/>
          <w:bCs/>
          <w:i w:val="false"/>
          <w:iCs w:val="false"/>
          <w:color w:val="1F3864"/>
          <w:sz w:val="28"/>
          <w:szCs w:val="28"/>
        </w:rPr>
        <w:t xml:space="preserve">ANNEX A: CHRONOLOGY OF FORCE MAJEURE EVENTS</w:t>
      </w:r>
    </w:p>
    <w:p>
      <w:pPr>
        <w:spacing w:after="200" w:before="0" w:line="276"/>
        <w:jc w:val="center"/>
      </w:pPr>
      <w:r>
        <w:rPr>
          <w:rFonts w:ascii="Arial" w:cs="Arial" w:eastAsia="Arial" w:hAnsi="Arial"/>
          <w:b w:val="false"/>
          <w:bCs w:val="false"/>
          <w:i w:val="false"/>
          <w:iCs w:val="false"/>
          <w:color w:val="666666"/>
          <w:sz w:val="20"/>
          <w:szCs w:val="20"/>
        </w:rPr>
        <w:t xml:space="preserve">28 February 2026 – 9 March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5246"/>
        <w:gridCol w:w="1400"/>
        <w:gridCol w:w="1200"/>
      </w:tblGrid>
      <w:tr>
        <w:trPr>
          <w:tblHeader/>
        </w:trPr>
        <w:tc>
          <w:tcPr>
            <w:tcW w:type="dxa" w:w="5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4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Date</w:t>
            </w:r>
          </w:p>
        </w:tc>
        <w:tc>
          <w:tcPr>
            <w:tcW w:type="dxa" w:w="5246"/>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Event Description</w:t>
            </w:r>
          </w:p>
        </w:tc>
        <w:tc>
          <w:tcPr>
            <w:tcW w:type="dxa" w:w="14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Clause Ref</w:t>
            </w:r>
          </w:p>
        </w:tc>
        <w:tc>
          <w:tcPr>
            <w:tcW w:type="dxa" w:w="1200"/>
            <w:tcBorders>
              <w:top w:val="single" w:color="999999" w:sz="1"/>
              <w:left w:val="single" w:color="999999" w:sz="1"/>
              <w:bottom w:val="single" w:color="999999" w:sz="1"/>
              <w:right w:val="single" w:color="999999" w:sz="1"/>
            </w:tcBorders>
            <w:shd w:fill="1F3864"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Category</w:t>
            </w:r>
          </w:p>
        </w:tc>
      </w:tr>
      <w:tr>
        <w:tc>
          <w:tcPr>
            <w:tcW w:type="dxa" w:w="5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000000"/>
                <w:sz w:val="18"/>
                <w:szCs w:val="18"/>
              </w:rPr>
              <w:t xml:space="preserve">1</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bCs/>
                <w:i w:val="false"/>
                <w:iCs w:val="false"/>
                <w:color w:val="000000"/>
                <w:sz w:val="18"/>
                <w:szCs w:val="18"/>
              </w:rPr>
              <w:t xml:space="preserve">28 Feb 2026</w:t>
            </w:r>
          </w:p>
        </w:tc>
        <w:tc>
          <w:tcPr>
            <w:tcW w:type="dxa" w:w="5246"/>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val="false"/>
                <w:bCs w:val="false"/>
                <w:i w:val="false"/>
                <w:iCs w:val="false"/>
                <w:color w:val="000000"/>
                <w:sz w:val="18"/>
                <w:szCs w:val="18"/>
              </w:rPr>
              <w:t xml:space="preserve">ADNOC issues shutdown directive; all outdoor work stopped at AGI due to "security situation"</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1F3864"/>
                <w:sz w:val="18"/>
                <w:szCs w:val="18"/>
              </w:rPr>
              <w:t xml:space="preserve">Cl.35(b)(c)</w:t>
            </w:r>
          </w:p>
        </w:tc>
        <w:tc>
          <w:tcPr>
            <w:tcW w:type="dxa" w:w="12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CC0000"/>
                <w:sz w:val="16"/>
                <w:szCs w:val="16"/>
              </w:rPr>
              <w:t xml:space="preserve">CRITICAL</w:t>
            </w:r>
          </w:p>
        </w:tc>
      </w:tr>
      <w:tr>
        <w:tc>
          <w:tcPr>
            <w:tcW w:type="dxa" w:w="5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000000"/>
                <w:sz w:val="18"/>
                <w:szCs w:val="18"/>
              </w:rPr>
              <w:t xml:space="preserve">2</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bCs/>
                <w:i w:val="false"/>
                <w:iCs w:val="false"/>
                <w:color w:val="000000"/>
                <w:sz w:val="18"/>
                <w:szCs w:val="18"/>
              </w:rPr>
              <w:t xml:space="preserve">28 Feb 2026</w:t>
            </w:r>
          </w:p>
        </w:tc>
        <w:tc>
          <w:tcPr>
            <w:tcW w:type="dxa" w:w="5246"/>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val="false"/>
                <w:bCs w:val="false"/>
                <w:i w:val="false"/>
                <w:iCs w:val="false"/>
                <w:color w:val="000000"/>
                <w:sz w:val="18"/>
                <w:szCs w:val="18"/>
              </w:rPr>
              <w:t xml:space="preserve">SCT requests Mammoet crew evacuation from Al Ghallan Island</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1F3864"/>
                <w:sz w:val="18"/>
                <w:szCs w:val="18"/>
              </w:rPr>
              <w:t xml:space="preserve">Cl.35(b)(c)</w:t>
            </w:r>
          </w:p>
        </w:tc>
        <w:tc>
          <w:tcPr>
            <w:tcW w:type="dxa" w:w="12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CC0000"/>
                <w:sz w:val="16"/>
                <w:szCs w:val="16"/>
              </w:rPr>
              <w:t xml:space="preserve">CRITICAL</w:t>
            </w:r>
          </w:p>
        </w:tc>
      </w:tr>
      <w:tr>
        <w:tc>
          <w:tcPr>
            <w:tcW w:type="dxa" w:w="5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000000"/>
                <w:sz w:val="18"/>
                <w:szCs w:val="18"/>
              </w:rPr>
              <w:t xml:space="preserve">3</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bCs/>
                <w:i w:val="false"/>
                <w:iCs w:val="false"/>
                <w:color w:val="000000"/>
                <w:sz w:val="18"/>
                <w:szCs w:val="18"/>
              </w:rPr>
              <w:t xml:space="preserve">28 Feb 2026</w:t>
            </w:r>
          </w:p>
        </w:tc>
        <w:tc>
          <w:tcPr>
            <w:tcW w:type="dxa" w:w="5246"/>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val="false"/>
                <w:bCs w:val="false"/>
                <w:i w:val="false"/>
                <w:iCs w:val="false"/>
                <w:color w:val="000000"/>
                <w:sz w:val="18"/>
                <w:szCs w:val="18"/>
              </w:rPr>
              <w:t xml:space="preserve">All Project Lightning teams placed on standby per ADNOC instruction</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1F3864"/>
                <w:sz w:val="18"/>
                <w:szCs w:val="18"/>
              </w:rPr>
              <w:t xml:space="preserve">Cl.35(b)</w:t>
            </w:r>
          </w:p>
        </w:tc>
        <w:tc>
          <w:tcPr>
            <w:tcW w:type="dxa" w:w="12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CC0000"/>
                <w:sz w:val="16"/>
                <w:szCs w:val="16"/>
              </w:rPr>
              <w:t xml:space="preserve">CRITICAL</w:t>
            </w:r>
          </w:p>
        </w:tc>
      </w:tr>
      <w:tr>
        <w:tc>
          <w:tcPr>
            <w:tcW w:type="dxa" w:w="5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000000"/>
                <w:sz w:val="18"/>
                <w:szCs w:val="18"/>
              </w:rPr>
              <w:t xml:space="preserve">4</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bCs/>
                <w:i w:val="false"/>
                <w:iCs w:val="false"/>
                <w:color w:val="000000"/>
                <w:sz w:val="18"/>
                <w:szCs w:val="18"/>
              </w:rPr>
              <w:t xml:space="preserve">02 Mar 2026</w:t>
            </w:r>
          </w:p>
        </w:tc>
        <w:tc>
          <w:tcPr>
            <w:tcW w:type="dxa" w:w="5246"/>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val="false"/>
                <w:bCs w:val="false"/>
                <w:i w:val="false"/>
                <w:iCs w:val="false"/>
                <w:color w:val="000000"/>
                <w:sz w:val="18"/>
                <w:szCs w:val="18"/>
              </w:rPr>
              <w:t xml:space="preserve">AGI Harbour Master prohibits vessel cast-off: "under his instruction only" — vessel designated standby for personnel evacuation</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1F3864"/>
                <w:sz w:val="18"/>
                <w:szCs w:val="18"/>
              </w:rPr>
              <w:t xml:space="preserve">Cl.35(b)(d)</w:t>
            </w:r>
          </w:p>
        </w:tc>
        <w:tc>
          <w:tcPr>
            <w:tcW w:type="dxa" w:w="12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CC0000"/>
                <w:sz w:val="16"/>
                <w:szCs w:val="16"/>
              </w:rPr>
              <w:t xml:space="preserve">CRITICAL</w:t>
            </w:r>
          </w:p>
        </w:tc>
      </w:tr>
      <w:tr>
        <w:tc>
          <w:tcPr>
            <w:tcW w:type="dxa" w:w="500"/>
            <w:tcBorders>
              <w:top w:val="single" w:color="999999" w:sz="1"/>
              <w:left w:val="single" w:color="999999" w:sz="1"/>
              <w:bottom w:val="single" w:color="999999" w:sz="1"/>
              <w:right w:val="single" w:color="999999" w:sz="1"/>
            </w:tcBorders>
            <w:shd w:fill="FFFBF0"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000000"/>
                <w:sz w:val="18"/>
                <w:szCs w:val="18"/>
              </w:rPr>
              <w:t xml:space="preserve">5</w:t>
            </w:r>
          </w:p>
        </w:tc>
        <w:tc>
          <w:tcPr>
            <w:tcW w:type="dxa" w:w="1400"/>
            <w:tcBorders>
              <w:top w:val="single" w:color="999999" w:sz="1"/>
              <w:left w:val="single" w:color="999999" w:sz="1"/>
              <w:bottom w:val="single" w:color="999999" w:sz="1"/>
              <w:right w:val="single" w:color="999999" w:sz="1"/>
            </w:tcBorders>
            <w:shd w:fill="FFFBF0" w:val="clear"/>
            <w:tcMar>
              <w:top w:type="dxa" w:w="60"/>
              <w:left w:type="dxa" w:w="80"/>
              <w:bottom w:type="dxa" w:w="60"/>
              <w:right w:type="dxa" w:w="80"/>
            </w:tcMar>
          </w:tcPr>
          <w:p>
            <w:pPr>
              <w:spacing w:after="0" w:before="0"/>
            </w:pPr>
            <w:r>
              <w:rPr>
                <w:rFonts w:ascii="Arial" w:cs="Arial" w:eastAsia="Arial" w:hAnsi="Arial"/>
                <w:b/>
                <w:bCs/>
                <w:i w:val="false"/>
                <w:iCs w:val="false"/>
                <w:color w:val="000000"/>
                <w:sz w:val="18"/>
                <w:szCs w:val="18"/>
              </w:rPr>
              <w:t xml:space="preserve">02 Mar 2026</w:t>
            </w:r>
          </w:p>
        </w:tc>
        <w:tc>
          <w:tcPr>
            <w:tcW w:type="dxa" w:w="5246"/>
            <w:tcBorders>
              <w:top w:val="single" w:color="999999" w:sz="1"/>
              <w:left w:val="single" w:color="999999" w:sz="1"/>
              <w:bottom w:val="single" w:color="999999" w:sz="1"/>
              <w:right w:val="single" w:color="999999" w:sz="1"/>
            </w:tcBorders>
            <w:shd w:fill="FFFBF0" w:val="clear"/>
            <w:tcMar>
              <w:top w:type="dxa" w:w="60"/>
              <w:left w:type="dxa" w:w="80"/>
              <w:bottom w:type="dxa" w:w="60"/>
              <w:right w:type="dxa" w:w="80"/>
            </w:tcMar>
          </w:tcPr>
          <w:p>
            <w:pPr>
              <w:spacing w:after="0" w:before="0"/>
            </w:pPr>
            <w:r>
              <w:rPr>
                <w:rFonts w:ascii="Arial" w:cs="Arial" w:eastAsia="Arial" w:hAnsi="Arial"/>
                <w:b w:val="false"/>
                <w:bCs w:val="false"/>
                <w:i w:val="false"/>
                <w:iCs w:val="false"/>
                <w:color w:val="000000"/>
                <w:sz w:val="18"/>
                <w:szCs w:val="18"/>
              </w:rPr>
              <w:t xml:space="preserve">Mammoet crew boards LCT Bushra without authorization amid evacuation uncertainty</w:t>
            </w:r>
          </w:p>
        </w:tc>
        <w:tc>
          <w:tcPr>
            <w:tcW w:type="dxa" w:w="1400"/>
            <w:tcBorders>
              <w:top w:val="single" w:color="999999" w:sz="1"/>
              <w:left w:val="single" w:color="999999" w:sz="1"/>
              <w:bottom w:val="single" w:color="999999" w:sz="1"/>
              <w:right w:val="single" w:color="999999" w:sz="1"/>
            </w:tcBorders>
            <w:shd w:fill="FFFB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1F3864"/>
                <w:sz w:val="18"/>
                <w:szCs w:val="18"/>
              </w:rPr>
              <w:t xml:space="preserve">Cl.35(b)(c)</w:t>
            </w:r>
          </w:p>
        </w:tc>
        <w:tc>
          <w:tcPr>
            <w:tcW w:type="dxa" w:w="1200"/>
            <w:tcBorders>
              <w:top w:val="single" w:color="999999" w:sz="1"/>
              <w:left w:val="single" w:color="999999" w:sz="1"/>
              <w:bottom w:val="single" w:color="999999" w:sz="1"/>
              <w:right w:val="single" w:color="999999" w:sz="1"/>
            </w:tcBorders>
            <w:shd w:fill="FFFB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CC8800"/>
                <w:sz w:val="16"/>
                <w:szCs w:val="16"/>
              </w:rPr>
              <w:t xml:space="preserve">WARNING</w:t>
            </w:r>
          </w:p>
        </w:tc>
      </w:tr>
      <w:tr>
        <w:tc>
          <w:tcPr>
            <w:tcW w:type="dxa" w:w="5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000000"/>
                <w:sz w:val="18"/>
                <w:szCs w:val="18"/>
              </w:rPr>
              <w:t xml:space="preserve">6</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bCs/>
                <w:i w:val="false"/>
                <w:iCs w:val="false"/>
                <w:color w:val="000000"/>
                <w:sz w:val="18"/>
                <w:szCs w:val="18"/>
              </w:rPr>
              <w:t xml:space="preserve">03 Mar 2026</w:t>
            </w:r>
          </w:p>
        </w:tc>
        <w:tc>
          <w:tcPr>
            <w:tcW w:type="dxa" w:w="5246"/>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val="false"/>
                <w:bCs w:val="false"/>
                <w:i w:val="false"/>
                <w:iCs w:val="false"/>
                <w:color w:val="000000"/>
                <w:sz w:val="18"/>
                <w:szCs w:val="18"/>
              </w:rPr>
              <w:t xml:space="preserve">Vessel remains on standby at AGI; weather conditions deteriorate — "not good enough for transit with any passenger"</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1F3864"/>
                <w:sz w:val="18"/>
                <w:szCs w:val="18"/>
              </w:rPr>
              <w:t xml:space="preserve">Cl.35(a)(f)</w:t>
            </w:r>
          </w:p>
        </w:tc>
        <w:tc>
          <w:tcPr>
            <w:tcW w:type="dxa" w:w="12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CC0000"/>
                <w:sz w:val="16"/>
                <w:szCs w:val="16"/>
              </w:rPr>
              <w:t xml:space="preserve">CRITICAL</w:t>
            </w:r>
          </w:p>
        </w:tc>
      </w:tr>
      <w:tr>
        <w:tc>
          <w:tcPr>
            <w:tcW w:type="dxa" w:w="5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000000"/>
                <w:sz w:val="18"/>
                <w:szCs w:val="18"/>
              </w:rPr>
              <w:t xml:space="preserve">7</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bCs/>
                <w:i w:val="false"/>
                <w:iCs w:val="false"/>
                <w:color w:val="000000"/>
                <w:sz w:val="18"/>
                <w:szCs w:val="18"/>
              </w:rPr>
              <w:t xml:space="preserve">07 Mar 2026</w:t>
            </w:r>
          </w:p>
        </w:tc>
        <w:tc>
          <w:tcPr>
            <w:tcW w:type="dxa" w:w="5246"/>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val="false"/>
                <w:bCs w:val="false"/>
                <w:i w:val="false"/>
                <w:iCs w:val="false"/>
                <w:color w:val="000000"/>
                <w:sz w:val="18"/>
                <w:szCs w:val="18"/>
              </w:rPr>
              <w:t xml:space="preserve">AGI HM confirms: "No vessel allowed cast off Al Ghallan except for urgent cargo"</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1F3864"/>
                <w:sz w:val="18"/>
                <w:szCs w:val="18"/>
              </w:rPr>
              <w:t xml:space="preserve">Cl.35(b)(d)</w:t>
            </w:r>
          </w:p>
        </w:tc>
        <w:tc>
          <w:tcPr>
            <w:tcW w:type="dxa" w:w="12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CC0000"/>
                <w:sz w:val="16"/>
                <w:szCs w:val="16"/>
              </w:rPr>
              <w:t xml:space="preserve">CRITICAL</w:t>
            </w:r>
          </w:p>
        </w:tc>
      </w:tr>
      <w:tr>
        <w:tc>
          <w:tcPr>
            <w:tcW w:type="dxa" w:w="5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000000"/>
                <w:sz w:val="18"/>
                <w:szCs w:val="18"/>
              </w:rPr>
              <w:t xml:space="preserve">8</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bCs/>
                <w:i w:val="false"/>
                <w:iCs w:val="false"/>
                <w:color w:val="000000"/>
                <w:sz w:val="18"/>
                <w:szCs w:val="18"/>
              </w:rPr>
              <w:t xml:space="preserve">07 Mar 2026</w:t>
            </w:r>
          </w:p>
        </w:tc>
        <w:tc>
          <w:tcPr>
            <w:tcW w:type="dxa" w:w="5246"/>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val="false"/>
                <w:bCs w:val="false"/>
                <w:i w:val="false"/>
                <w:iCs w:val="false"/>
                <w:color w:val="000000"/>
                <w:sz w:val="18"/>
                <w:szCs w:val="18"/>
              </w:rPr>
              <w:t xml:space="preserve">ADNOC Shipping unable to provide replacement vessel; LCT Bushra remains detained at AGI</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1F3864"/>
                <w:sz w:val="18"/>
                <w:szCs w:val="18"/>
              </w:rPr>
              <w:t xml:space="preserve">Cl.35(b)</w:t>
            </w:r>
          </w:p>
        </w:tc>
        <w:tc>
          <w:tcPr>
            <w:tcW w:type="dxa" w:w="12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CC0000"/>
                <w:sz w:val="16"/>
                <w:szCs w:val="16"/>
              </w:rPr>
              <w:t xml:space="preserve">CRITICAL</w:t>
            </w:r>
          </w:p>
        </w:tc>
      </w:tr>
      <w:tr>
        <w:tc>
          <w:tcPr>
            <w:tcW w:type="dxa" w:w="5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val="false"/>
                <w:bCs w:val="false"/>
                <w:i w:val="false"/>
                <w:iCs w:val="false"/>
                <w:color w:val="000000"/>
                <w:sz w:val="18"/>
                <w:szCs w:val="18"/>
              </w:rPr>
              <w:t xml:space="preserve">9</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bCs/>
                <w:i w:val="false"/>
                <w:iCs w:val="false"/>
                <w:color w:val="000000"/>
                <w:sz w:val="18"/>
                <w:szCs w:val="18"/>
              </w:rPr>
              <w:t xml:space="preserve">08 Mar 2026</w:t>
            </w:r>
          </w:p>
        </w:tc>
        <w:tc>
          <w:tcPr>
            <w:tcW w:type="dxa" w:w="5246"/>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pPr>
            <w:r>
              <w:rPr>
                <w:rFonts w:ascii="Arial" w:cs="Arial" w:eastAsia="Arial" w:hAnsi="Arial"/>
                <w:b w:val="false"/>
                <w:bCs w:val="false"/>
                <w:i w:val="false"/>
                <w:iCs w:val="false"/>
                <w:color w:val="000000"/>
                <w:sz w:val="18"/>
                <w:szCs w:val="18"/>
              </w:rPr>
              <w:t xml:space="preserve">ADNOC confirms: "No replacement vessel for Bushra till the moment"</w:t>
            </w:r>
          </w:p>
        </w:tc>
        <w:tc>
          <w:tcPr>
            <w:tcW w:type="dxa" w:w="14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1F3864"/>
                <w:sz w:val="18"/>
                <w:szCs w:val="18"/>
              </w:rPr>
              <w:t xml:space="preserve">Cl.35(b)</w:t>
            </w:r>
          </w:p>
        </w:tc>
        <w:tc>
          <w:tcPr>
            <w:tcW w:type="dxa" w:w="1200"/>
            <w:tcBorders>
              <w:top w:val="single" w:color="999999" w:sz="1"/>
              <w:left w:val="single" w:color="999999" w:sz="1"/>
              <w:bottom w:val="single" w:color="999999" w:sz="1"/>
              <w:right w:val="single" w:color="999999" w:sz="1"/>
            </w:tcBorders>
            <w:shd w:fill="FFF0F0" w:val="clear"/>
            <w:tcMar>
              <w:top w:type="dxa" w:w="60"/>
              <w:left w:type="dxa" w:w="80"/>
              <w:bottom w:type="dxa" w:w="60"/>
              <w:right w:type="dxa" w:w="80"/>
            </w:tcMar>
          </w:tcPr>
          <w:p>
            <w:pPr>
              <w:spacing w:after="0" w:before="0"/>
              <w:jc w:val="center"/>
            </w:pPr>
            <w:r>
              <w:rPr>
                <w:rFonts w:ascii="Arial" w:cs="Arial" w:eastAsia="Arial" w:hAnsi="Arial"/>
                <w:b/>
                <w:bCs/>
                <w:i w:val="false"/>
                <w:iCs w:val="false"/>
                <w:color w:val="CC0000"/>
                <w:sz w:val="16"/>
                <w:szCs w:val="16"/>
              </w:rPr>
              <w:t xml:space="preserve">CRITICAL</w:t>
            </w:r>
          </w:p>
        </w:tc>
      </w:tr>
    </w:tbl>
    <w:p>
      <w:pPr>
        <w:spacing w:after="200" w:before="0" w:line="276"/>
        <w:jc w:val="left"/>
      </w:pPr>
      <w:r>
        <w:rPr>
          <w:rFonts w:ascii="Arial" w:cs="Arial" w:eastAsia="Arial" w:hAnsi="Arial"/>
          <w:b w:val="false"/>
          <w:bCs w:val="false"/>
          <w:i w:val="false"/>
          <w:iCs w:val="false"/>
          <w:color w:val="000000"/>
          <w:sz w:val="22"/>
          <w:szCs w:val="22"/>
        </w:rPr>
        <w:t xml:space="preserve"/>
      </w:r>
    </w:p>
    <w:p>
      <w:pPr>
        <w:spacing w:after="80" w:before="0" w:line="276"/>
        <w:jc w:val="left"/>
      </w:pPr>
      <w:r>
        <w:rPr>
          <w:rFonts w:ascii="Arial" w:cs="Arial" w:eastAsia="Arial" w:hAnsi="Arial"/>
          <w:b/>
          <w:bCs/>
          <w:i w:val="false"/>
          <w:iCs w:val="false"/>
          <w:color w:val="1F3864"/>
          <w:sz w:val="20"/>
          <w:szCs w:val="20"/>
        </w:rPr>
        <w:t xml:space="preserve">Legend: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8546"/>
      </w:tblGrid>
      <w:tr>
        <w:tc>
          <w:tcPr>
            <w:tcW w:type="dxa" w:w="1200"/>
            <w:tcBorders>
              <w:top w:val="none" w:color="FFFFFF" w:sz="0"/>
              <w:left w:val="none" w:color="FFFFFF" w:sz="0"/>
              <w:bottom w:val="none" w:color="FFFFFF" w:sz="0"/>
              <w:right w:val="none" w:color="FFFFFF" w:sz="0"/>
            </w:tcBorders>
            <w:shd w:fill="FFF0F0" w:val="clear"/>
            <w:tcMar>
              <w:top w:type="dxa" w:w="40"/>
              <w:left w:type="dxa" w:w="80"/>
              <w:bottom w:type="dxa" w:w="40"/>
              <w:right w:type="dxa" w:w="80"/>
            </w:tcMar>
          </w:tcPr>
          <w:p>
            <w:pPr>
              <w:spacing w:after="0" w:before="0"/>
              <w:jc w:val="center"/>
            </w:pPr>
            <w:r>
              <w:rPr>
                <w:rFonts w:ascii="Arial" w:cs="Arial" w:eastAsia="Arial" w:hAnsi="Arial"/>
                <w:b/>
                <w:bCs/>
                <w:i w:val="false"/>
                <w:iCs w:val="false"/>
                <w:color w:val="CC0000"/>
                <w:sz w:val="18"/>
                <w:szCs w:val="18"/>
              </w:rPr>
              <w:t xml:space="preserve">CRITICAL</w:t>
            </w:r>
          </w:p>
        </w:tc>
        <w:tc>
          <w:tcPr>
            <w:tcW w:type="dxa" w:w="8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b w:val="false"/>
                <w:bCs w:val="false"/>
                <w:i w:val="false"/>
                <w:iCs w:val="false"/>
                <w:color w:val="000000"/>
                <w:sz w:val="18"/>
                <w:szCs w:val="18"/>
              </w:rPr>
              <w:t xml:space="preserve">Events directly preventing charter performance; regulatory/security-imposed</w:t>
            </w:r>
          </w:p>
        </w:tc>
      </w:tr>
      <w:tr>
        <w:tc>
          <w:tcPr>
            <w:tcW w:type="dxa" w:w="1200"/>
            <w:tcBorders>
              <w:top w:val="none" w:color="FFFFFF" w:sz="0"/>
              <w:left w:val="none" w:color="FFFFFF" w:sz="0"/>
              <w:bottom w:val="none" w:color="FFFFFF" w:sz="0"/>
              <w:right w:val="none" w:color="FFFFFF" w:sz="0"/>
            </w:tcBorders>
            <w:shd w:fill="FFFBF0" w:val="clear"/>
            <w:tcMar>
              <w:top w:type="dxa" w:w="40"/>
              <w:left w:type="dxa" w:w="80"/>
              <w:bottom w:type="dxa" w:w="40"/>
              <w:right w:type="dxa" w:w="80"/>
            </w:tcMar>
          </w:tcPr>
          <w:p>
            <w:pPr>
              <w:spacing w:after="0" w:before="0"/>
              <w:jc w:val="center"/>
            </w:pPr>
            <w:r>
              <w:rPr>
                <w:rFonts w:ascii="Arial" w:cs="Arial" w:eastAsia="Arial" w:hAnsi="Arial"/>
                <w:b/>
                <w:bCs/>
                <w:i w:val="false"/>
                <w:iCs w:val="false"/>
                <w:color w:val="CC8800"/>
                <w:sz w:val="18"/>
                <w:szCs w:val="18"/>
              </w:rPr>
              <w:t xml:space="preserve">WARNING</w:t>
            </w:r>
          </w:p>
        </w:tc>
        <w:tc>
          <w:tcPr>
            <w:tcW w:type="dxa" w:w="85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pPr>
            <w:r>
              <w:rPr>
                <w:rFonts w:ascii="Arial" w:cs="Arial" w:eastAsia="Arial" w:hAnsi="Arial"/>
                <w:b w:val="false"/>
                <w:bCs w:val="false"/>
                <w:i w:val="false"/>
                <w:iCs w:val="false"/>
                <w:color w:val="000000"/>
                <w:sz w:val="18"/>
                <w:szCs w:val="18"/>
              </w:rPr>
              <w:t xml:space="preserve">Events contributing to FM situation; operational complications</w:t>
            </w:r>
          </w:p>
        </w:tc>
      </w:tr>
    </w:tbl>
    <w:p>
      <w:pPr>
        <w:spacing w:after="200" w:before="0" w:line="276"/>
        <w:jc w:val="left"/>
      </w:pPr>
      <w:r>
        <w:rPr>
          <w:rFonts w:ascii="Arial" w:cs="Arial" w:eastAsia="Arial" w:hAnsi="Arial"/>
          <w:b w:val="false"/>
          <w:bCs w:val="false"/>
          <w:i w:val="false"/>
          <w:iCs w:val="false"/>
          <w:color w:val="000000"/>
          <w:sz w:val="22"/>
          <w:szCs w:val="22"/>
        </w:rPr>
        <w:t xml:space="preserve"/>
      </w:r>
    </w:p>
    <w:p>
      <w:pPr>
        <w:spacing w:after="40" w:before="0" w:line="276"/>
        <w:jc w:val="left"/>
      </w:pPr>
      <w:r>
        <w:rPr>
          <w:rFonts w:ascii="Arial" w:cs="Arial" w:eastAsia="Arial" w:hAnsi="Arial"/>
          <w:b/>
          <w:bCs/>
          <w:i w:val="false"/>
          <w:iCs w:val="false"/>
          <w:color w:val="000000"/>
          <w:sz w:val="18"/>
          <w:szCs w:val="18"/>
        </w:rPr>
        <w:t xml:space="preserve">Source: </w:t>
      </w:r>
      <w:r>
        <w:rPr>
          <w:rFonts w:ascii="Arial" w:cs="Arial" w:eastAsia="Arial" w:hAnsi="Arial"/>
          <w:b w:val="false"/>
          <w:bCs w:val="false"/>
          <w:i w:val="false"/>
          <w:iCs w:val="false"/>
          <w:color w:val="000000"/>
          <w:sz w:val="18"/>
          <w:szCs w:val="18"/>
        </w:rPr>
        <w:t xml:space="preserve">WhatsApp operational communications — JOPETWIL 71 Group &amp; LCT Bushra Group. </w:t>
      </w:r>
      <w:r>
        <w:rPr>
          <w:rFonts w:ascii="Arial" w:cs="Arial" w:eastAsia="Arial" w:hAnsi="Arial"/>
          <w:b w:val="false"/>
          <w:bCs w:val="false"/>
          <w:i/>
          <w:iCs/>
          <w:color w:val="000000"/>
          <w:sz w:val="18"/>
          <w:szCs w:val="18"/>
        </w:rPr>
        <w:t xml:space="preserve">Full chronology available in Enclosure 1 (Chronology Report).</w:t>
      </w:r>
    </w:p>
    <w:p>
      <w:pPr>
        <w:spacing w:after="120" w:before="0" w:line="276"/>
        <w:jc w:val="center"/>
      </w:pPr>
      <w:r>
        <w:rPr>
          <w:rFonts w:ascii="Arial" w:cs="Arial" w:eastAsia="Arial" w:hAnsi="Arial"/>
          <w:b w:val="false"/>
          <w:bCs w:val="false"/>
          <w:i/>
          <w:iCs/>
          <w:color w:val="999999"/>
          <w:sz w:val="18"/>
          <w:szCs w:val="18"/>
        </w:rPr>
        <w:t xml:space="preserve">--- End of Annex A ---</w:t>
      </w:r>
    </w:p>
    <w:sectPr>
      <w:headerReference w:type="default" r:id="rId9"/>
      <w:footerReference w:type="default" r:id="rId10"/>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b w:val="false"/>
        <w:bCs w:val="false"/>
        <w:i w:val="false"/>
        <w:iCs w:val="false"/>
        <w:color w:val="999999"/>
        <w:sz w:val="16"/>
        <w:szCs w:val="16"/>
      </w:rPr>
      <w:t xml:space="preserve">Ref: SCT-19LT-PJC-LA-007</w:t>
    </w:r>
    <w:r>
      <w:rPr>
        <w:rFonts w:ascii="Arial" w:cs="Arial" w:eastAsia="Arial" w:hAnsi="Arial"/>
        <w:sz w:val="16"/>
        <w:szCs w:val="16"/>
      </w:rPr>
      <w:t xml:space="preserve">	</w:t>
    </w:r>
    <w:r>
      <w:rPr>
        <w:rFonts w:ascii="Arial" w:cs="Arial" w:eastAsia="Arial" w:hAnsi="Arial"/>
        <w:b w:val="false"/>
        <w:bCs w:val="false"/>
        <w:i w:val="false"/>
        <w:iCs w:val="false"/>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120"/>
    </w:pPr>
    <w:r>
      <w:rPr>
        <w:rFonts w:ascii="Arial" w:cs="Arial" w:eastAsia="Arial" w:hAnsi="Arial"/>
        <w:b w:val="false"/>
        <w:bCs w:val="false"/>
        <w:i w:val="false"/>
        <w:iCs w:val="false"/>
        <w:color w:val="999999"/>
        <w:sz w:val="16"/>
        <w:szCs w:val="16"/>
      </w:rPr>
      <w:t xml:space="preserve">Samsung C&amp;T Corporation — Force Majeure Notice</w:t>
    </w:r>
    <w:r>
      <w:rPr>
        <w:rFonts w:ascii="Arial" w:cs="Arial" w:eastAsia="Arial" w:hAnsi="Arial"/>
        <w:sz w:val="16"/>
        <w:szCs w:val="16"/>
      </w:rPr>
      <w:t xml:space="preserve">	</w:t>
    </w:r>
    <w:r>
      <w:rPr>
        <w:rFonts w:ascii="Arial" w:cs="Arial" w:eastAsia="Arial" w:hAnsi="Arial"/>
        <w:b w:val="false"/>
        <w:bCs w:val="false"/>
        <w:i w:val="false"/>
        <w:iCs w:val="false"/>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8A0" w:sz="6" w:space="1"/>
      </w:pBdr>
      <w:tabs>
        <w:tab w:val="right" w:pos="9026"/>
      </w:tabs>
      <w:spacing w:after="0"/>
    </w:pPr>
    <w:r>
      <w:rPr>
        <w:rFonts w:ascii="Arial" w:cs="Arial" w:eastAsia="Arial" w:hAnsi="Arial"/>
        <w:b/>
        <w:bCs/>
        <w:i w:val="false"/>
        <w:iCs w:val="false"/>
        <w:color w:val="1428A0"/>
        <w:sz w:val="20"/>
        <w:szCs w:val="20"/>
      </w:rPr>
      <w:t xml:space="preserve">SAMSUNG C&amp;T CORPORATION</w:t>
    </w:r>
    <w:r>
      <w:rPr>
        <w:rFonts w:ascii="Arial" w:cs="Arial" w:eastAsia="Arial" w:hAnsi="Arial"/>
        <w:sz w:val="16"/>
        <w:szCs w:val="16"/>
      </w:rPr>
      <w:t xml:space="preserve">	</w:t>
    </w:r>
    <w:r>
      <w:rPr>
        <w:rFonts w:ascii="Arial" w:cs="Arial" w:eastAsia="Arial" w:hAnsi="Arial"/>
        <w:b w:val="false"/>
        <w:bCs w:val="false"/>
        <w:i/>
        <w:iCs/>
        <w:color w:val="666666"/>
        <w:sz w:val="16"/>
        <w:szCs w:val="16"/>
      </w:rPr>
      <w:t xml:space="preserve">Engineering &amp; Construction Group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8A0" w:sz="4" w:space="1"/>
      </w:pBdr>
      <w:tabs>
        <w:tab w:val="right" w:pos="9026"/>
      </w:tabs>
      <w:spacing w:after="0"/>
    </w:pPr>
    <w:r>
      <w:rPr>
        <w:rFonts w:ascii="Arial" w:cs="Arial" w:eastAsia="Arial" w:hAnsi="Arial"/>
        <w:b/>
        <w:bCs/>
        <w:i w:val="false"/>
        <w:iCs w:val="false"/>
        <w:color w:val="1F3864"/>
        <w:sz w:val="18"/>
        <w:szCs w:val="18"/>
      </w:rPr>
      <w:t xml:space="preserve">ANNEX A — Force Majeure Events Chronology</w:t>
    </w:r>
    <w:r>
      <w:rPr>
        <w:rFonts w:ascii="Arial" w:cs="Arial" w:eastAsia="Arial" w:hAnsi="Arial"/>
        <w:sz w:val="16"/>
        <w:szCs w:val="16"/>
      </w:rPr>
      <w:t xml:space="preserve">	</w:t>
    </w:r>
    <w:r>
      <w:rPr>
        <w:rFonts w:ascii="Arial" w:cs="Arial" w:eastAsia="Arial" w:hAnsi="Arial"/>
        <w:b w:val="false"/>
        <w:bCs w:val="false"/>
        <w:i w:val="false"/>
        <w:iCs w:val="false"/>
        <w:color w:val="999999"/>
        <w:sz w:val="16"/>
        <w:szCs w:val="16"/>
      </w:rPr>
      <w:t xml:space="preserve">Ref: SCT-19LT-PJC-LA-007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2026-03-09T08:53:41.249Z</dcterms:created>
  <dcterms:modified xsi:type="dcterms:W3CDTF">2026-03-09T08:53:41.250Z</dcterms:modified>
</cp:coreProperties>
</file>

<file path=docProps/custom.xml><?xml version="1.0" encoding="utf-8"?>
<Properties xmlns="http://schemas.openxmlformats.org/officeDocument/2006/custom-properties" xmlns:vt="http://schemas.openxmlformats.org/officeDocument/2006/docPropsVTypes"/>
</file>