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20"/>
                <w:szCs w:val="20"/>
              </w:rPr>
              <w:t xml:space="preserve">DATE</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20"/>
                <w:szCs w:val="20"/>
              </w:rPr>
              <w:t xml:space="preserve">9 March 2026</w:t>
            </w:r>
          </w:p>
        </w:tc>
      </w:tr>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20"/>
                <w:szCs w:val="20"/>
              </w:rPr>
              <w:t xml:space="preserve">FROM</w:t>
            </w:r>
          </w:p>
        </w:tc>
        <w:tc>
          <w:tcPr>
            <w:tcW w:type="dxa" w:w="7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20"/>
                <w:szCs w:val="20"/>
              </w:rPr>
              <w:t xml:space="preserve">Project Logistics / SCM Department</w:t>
            </w:r>
          </w:p>
        </w:tc>
      </w:tr>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20"/>
                <w:szCs w:val="20"/>
              </w:rPr>
              <w:t xml:space="preserve">TO</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20"/>
                <w:szCs w:val="20"/>
              </w:rPr>
              <w:t xml:space="preserve">Project Director, HVDC Interconnector</w:t>
            </w:r>
          </w:p>
        </w:tc>
      </w:tr>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20"/>
                <w:szCs w:val="20"/>
              </w:rPr>
              <w:t xml:space="preserve">CC</w:t>
            </w:r>
          </w:p>
        </w:tc>
        <w:tc>
          <w:tcPr>
            <w:tcW w:type="dxa" w:w="7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20"/>
                <w:szCs w:val="20"/>
              </w:rPr>
              <w:t xml:space="preserve">Contract Manager / SCM HQ Seoul / Legal Dept.</w:t>
            </w:r>
          </w:p>
        </w:tc>
      </w:tr>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20"/>
                <w:szCs w:val="20"/>
              </w:rPr>
              <w:t xml:space="preserve">SUBJECT</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20"/>
                <w:szCs w:val="20"/>
              </w:rPr>
              <w:t xml:space="preserve">JOPETWIL 71 — Standby Situation UPDATE #2: FM Notice Issued</w:t>
            </w:r>
          </w:p>
        </w:tc>
      </w:tr>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20"/>
                <w:szCs w:val="20"/>
              </w:rPr>
              <w:t xml:space="preserve">PRIORITY</w:t>
            </w:r>
          </w:p>
        </w:tc>
        <w:tc>
          <w:tcPr>
            <w:tcW w:type="dxa" w:w="7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20"/>
                <w:szCs w:val="20"/>
              </w:rPr>
              <w:t xml:space="preserve">URGENT — ACTION REQUIRED</w:t>
            </w:r>
          </w:p>
        </w:tc>
      </w:tr>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20"/>
                <w:szCs w:val="20"/>
              </w:rPr>
              <w:t xml:space="preserve">CLASSIFICATION</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20"/>
                <w:szCs w:val="20"/>
              </w:rPr>
              <w:t xml:space="preserve">CONFIDENTIAL</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b/>
          <w:bCs/>
          <w:i w:val="false"/>
          <w:iCs w:val="false"/>
          <w:color w:val="1F3864"/>
          <w:sz w:val="28"/>
          <w:szCs w:val="28"/>
        </w:rPr>
        <w:t xml:space="preserve">1. 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8"/>
              <w:left w:val="single" w:color="CC0000" w:sz="8"/>
              <w:bottom w:val="single" w:color="CC0000" w:sz="8"/>
              <w:right w:val="single" w:color="CC0000" w:sz="8"/>
            </w:tcBorders>
            <w:shd w:fill="FFF5F5" w:val="clear"/>
            <w:tcMar>
              <w:top w:type="dxa" w:w="120"/>
              <w:left w:type="dxa" w:w="200"/>
              <w:bottom w:type="dxa" w:w="120"/>
              <w:right w:type="dxa" w:w="200"/>
            </w:tcMar>
          </w:tcPr>
          <w:p>
            <w:pPr>
              <w:spacing w:after="80" w:before="0"/>
            </w:pPr>
            <w:r>
              <w:rPr>
                <w:rFonts w:ascii="Arial" w:cs="Arial" w:eastAsia="Arial" w:hAnsi="Arial"/>
                <w:b/>
                <w:bCs/>
                <w:i w:val="false"/>
                <w:iCs w:val="false"/>
                <w:color w:val="CC0000"/>
                <w:sz w:val="24"/>
                <w:szCs w:val="24"/>
              </w:rPr>
              <w:t xml:space="preserve">FORCE MAJEURE NOTICE ISSUED</w:t>
            </w:r>
          </w:p>
          <w:p>
            <w:pPr>
              <w:spacing w:after="60" w:before="0"/>
            </w:pPr>
            <w:r>
              <w:rPr>
                <w:rFonts w:ascii="Arial" w:cs="Arial" w:eastAsia="Arial" w:hAnsi="Arial"/>
                <w:b w:val="false"/>
                <w:bCs w:val="false"/>
                <w:i w:val="false"/>
                <w:iCs w:val="false"/>
                <w:color w:val="000000"/>
                <w:sz w:val="20"/>
                <w:szCs w:val="20"/>
              </w:rPr>
              <w:t xml:space="preserve">Clause 35 FM Notice formally dispatched to ADNOC L&amp;S (Owner) on 9 March 2026, citing 5 grounds: acts of God, government control, security/terrorism consequences, de facto blockade, and extraordinary weather. Vessel detained at AGI since 2 March; cumulative standby cost US$ 96,000 (D+8). Concurrent Clause 33 Lay-Up Request also issued to negotiate hire reduction.</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b/>
          <w:bCs/>
          <w:i w:val="false"/>
          <w:iCs w:val="false"/>
          <w:color w:val="1F3864"/>
          <w:sz w:val="28"/>
          <w:szCs w:val="28"/>
        </w:rPr>
        <w:t xml:space="preserve">2. SITUATION UPDATE SINCE MEMO #1</w:t>
      </w:r>
    </w:p>
    <w:p>
      <w:pPr>
        <w:pStyle w:val="Heading2"/>
      </w:pPr>
      <w:r>
        <w:rPr>
          <w:rFonts w:ascii="Arial" w:cs="Arial" w:eastAsia="Arial" w:hAnsi="Arial"/>
          <w:b/>
          <w:bCs/>
          <w:i w:val="false"/>
          <w:iCs w:val="false"/>
          <w:color w:val="2E75B6"/>
          <w:sz w:val="24"/>
          <w:szCs w:val="24"/>
        </w:rPr>
        <w:t xml:space="preserve">2.1 Key Developments (9 March 2026)</w:t>
      </w:r>
    </w:p>
    <w:p>
      <w:pPr>
        <w:spacing w:after="100" w:before="0" w:line="276"/>
        <w:jc w:val="left"/>
      </w:pPr>
      <w:r>
        <w:rPr>
          <w:rFonts w:ascii="Arial" w:cs="Arial" w:eastAsia="Arial" w:hAnsi="Arial"/>
          <w:b/>
          <w:bCs/>
          <w:i w:val="false"/>
          <w:iCs w:val="false"/>
          <w:color w:val="000000"/>
          <w:sz w:val="22"/>
          <w:szCs w:val="22"/>
        </w:rPr>
        <w:t xml:space="preserve">(a) </w:t>
      </w:r>
      <w:r>
        <w:rPr>
          <w:rFonts w:ascii="Arial" w:cs="Arial" w:eastAsia="Arial" w:hAnsi="Arial"/>
          <w:b/>
          <w:bCs/>
          <w:i w:val="false"/>
          <w:iCs w:val="false"/>
          <w:color w:val="000000"/>
          <w:sz w:val="22"/>
          <w:szCs w:val="22"/>
        </w:rPr>
        <w:t xml:space="preserve">Clause 35 Force Majeure Notice</w:t>
      </w:r>
      <w:r>
        <w:rPr>
          <w:rFonts w:ascii="Arial" w:cs="Arial" w:eastAsia="Arial" w:hAnsi="Arial"/>
          <w:b w:val="false"/>
          <w:bCs w:val="false"/>
          <w:i w:val="false"/>
          <w:iCs w:val="false"/>
          <w:color w:val="000000"/>
          <w:sz w:val="22"/>
          <w:szCs w:val="22"/>
        </w:rPr>
        <w:t xml:space="preserve"> — Formal written notice dispatched to ALS invoking FM under 5 sub-clauses (a)(b)(c)(d)(f). Notice cites the 5-day statutory deadline and includes Chronology Report as enclosure. Relief sought: FM acknowledgment, liability release, equitable hire discussion, and cooperation for vessel release.</w:t>
      </w:r>
    </w:p>
    <w:p>
      <w:pPr>
        <w:spacing w:after="100" w:before="0" w:line="276"/>
        <w:jc w:val="left"/>
      </w:pPr>
      <w:r>
        <w:rPr>
          <w:rFonts w:ascii="Arial" w:cs="Arial" w:eastAsia="Arial" w:hAnsi="Arial"/>
          <w:b/>
          <w:bCs/>
          <w:i w:val="false"/>
          <w:iCs w:val="false"/>
          <w:color w:val="000000"/>
          <w:sz w:val="22"/>
          <w:szCs w:val="22"/>
        </w:rPr>
        <w:t xml:space="preserve">(b) </w:t>
      </w:r>
      <w:r>
        <w:rPr>
          <w:rFonts w:ascii="Arial" w:cs="Arial" w:eastAsia="Arial" w:hAnsi="Arial"/>
          <w:b/>
          <w:bCs/>
          <w:i w:val="false"/>
          <w:iCs w:val="false"/>
          <w:color w:val="000000"/>
          <w:sz w:val="22"/>
          <w:szCs w:val="22"/>
        </w:rPr>
        <w:t xml:space="preserve">Chronology Report completed</w:t>
      </w:r>
      <w:r>
        <w:rPr>
          <w:rFonts w:ascii="Arial" w:cs="Arial" w:eastAsia="Arial" w:hAnsi="Arial"/>
          <w:b w:val="false"/>
          <w:bCs w:val="false"/>
          <w:i w:val="false"/>
          <w:iCs w:val="false"/>
          <w:color w:val="000000"/>
          <w:sz w:val="22"/>
          <w:szCs w:val="22"/>
        </w:rPr>
        <w:t xml:space="preserve"> — 28 events across 4 phases compiled from WhatsApp operational logs (JOPETWIL 71 Group + LCT Bushra Group). Color-coded by severity. Provides evidentiary foundation for FM and potential arbitration.</w:t>
      </w:r>
    </w:p>
    <w:p>
      <w:pPr>
        <w:spacing w:after="100" w:before="0" w:line="276"/>
        <w:jc w:val="left"/>
      </w:pPr>
      <w:r>
        <w:rPr>
          <w:rFonts w:ascii="Arial" w:cs="Arial" w:eastAsia="Arial" w:hAnsi="Arial"/>
          <w:b/>
          <w:bCs/>
          <w:i w:val="false"/>
          <w:iCs w:val="false"/>
          <w:color w:val="000000"/>
          <w:sz w:val="22"/>
          <w:szCs w:val="22"/>
        </w:rPr>
        <w:t xml:space="preserve">(c) </w:t>
      </w:r>
      <w:r>
        <w:rPr>
          <w:rFonts w:ascii="Arial" w:cs="Arial" w:eastAsia="Arial" w:hAnsi="Arial"/>
          <w:b/>
          <w:bCs/>
          <w:i w:val="false"/>
          <w:iCs w:val="false"/>
          <w:color w:val="000000"/>
          <w:sz w:val="22"/>
          <w:szCs w:val="22"/>
        </w:rPr>
        <w:t xml:space="preserve">AGI HM cast-off ban remains in force</w:t>
      </w:r>
      <w:r>
        <w:rPr>
          <w:rFonts w:ascii="Arial" w:cs="Arial" w:eastAsia="Arial" w:hAnsi="Arial"/>
          <w:b w:val="false"/>
          <w:bCs w:val="false"/>
          <w:i w:val="false"/>
          <w:iCs w:val="false"/>
          <w:color w:val="000000"/>
          <w:sz w:val="22"/>
          <w:szCs w:val="22"/>
        </w:rPr>
        <w:t xml:space="preserve"> — As of 9 March, "No vessel allowed cast off Al Ghallan except for urgent cargo" (confirmed 7 March). ADNOC also confirmed "No replacement vessel for Bushra" (8 March). Vessel remains involuntarily idle.</w:t>
      </w:r>
    </w:p>
    <w:p>
      <w:pPr>
        <w:spacing w:after="160" w:before="0" w:line="276"/>
        <w:jc w:val="left"/>
      </w:pPr>
      <w:r>
        <w:rPr>
          <w:rFonts w:ascii="Arial" w:cs="Arial" w:eastAsia="Arial" w:hAnsi="Arial"/>
          <w:b/>
          <w:bCs/>
          <w:i w:val="false"/>
          <w:iCs w:val="false"/>
          <w:color w:val="000000"/>
          <w:sz w:val="22"/>
          <w:szCs w:val="22"/>
        </w:rPr>
        <w:t xml:space="preserve">(d) </w:t>
      </w:r>
      <w:r>
        <w:rPr>
          <w:rFonts w:ascii="Arial" w:cs="Arial" w:eastAsia="Arial" w:hAnsi="Arial"/>
          <w:b/>
          <w:bCs/>
          <w:i w:val="false"/>
          <w:iCs w:val="false"/>
          <w:color w:val="000000"/>
          <w:sz w:val="22"/>
          <w:szCs w:val="22"/>
        </w:rPr>
        <w:t xml:space="preserve">Lay-Up Rate Scenario Analysis</w:t>
      </w:r>
      <w:r>
        <w:rPr>
          <w:rFonts w:ascii="Arial" w:cs="Arial" w:eastAsia="Arial" w:hAnsi="Arial"/>
          <w:b w:val="false"/>
          <w:bCs w:val="false"/>
          <w:i w:val="false"/>
          <w:iCs w:val="false"/>
          <w:color w:val="000000"/>
          <w:sz w:val="22"/>
          <w:szCs w:val="22"/>
        </w:rPr>
        <w:t xml:space="preserve"> — 9-discount-rate interactive model completed (30%–70% reduction). Break-even analysis shows Lay-Up becomes cost-effective at ~40% discount with 3-day lead time. Strongest negotiation leverage: Cl.35 FM + UAE Civil Code Art. 249 hardship doctrine.</w:t>
      </w:r>
    </w:p>
    <w:p>
      <w:pPr>
        <w:pStyle w:val="Heading2"/>
      </w:pPr>
      <w:r>
        <w:rPr>
          <w:rFonts w:ascii="Arial" w:cs="Arial" w:eastAsia="Arial" w:hAnsi="Arial"/>
          <w:b/>
          <w:bCs/>
          <w:i w:val="false"/>
          <w:iCs w:val="false"/>
          <w:color w:val="2E75B6"/>
          <w:sz w:val="24"/>
          <w:szCs w:val="24"/>
        </w:rPr>
        <w:t xml:space="preserve">2.2 Vessel &amp; Cargo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Vessel</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val="false"/>
                <w:bCs w:val="false"/>
                <w:i w:val="false"/>
                <w:iCs w:val="false"/>
                <w:color w:val="000000"/>
                <w:sz w:val="20"/>
                <w:szCs w:val="20"/>
              </w:rPr>
              <w:t xml:space="preserve">JOPETWIL 71 (LCT Bushra)</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Current Location</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val="false"/>
                <w:bCs w:val="false"/>
                <w:i w:val="false"/>
                <w:iCs w:val="false"/>
                <w:color w:val="000000"/>
                <w:sz w:val="20"/>
                <w:szCs w:val="20"/>
              </w:rPr>
              <w:t xml:space="preserve">Al Ghallan Island, Berth No. 3</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Status</w:t>
            </w:r>
          </w:p>
        </w:tc>
        <w:tc>
          <w:tcPr>
            <w:tcW w:type="dxa" w:w="6026"/>
            <w:tcBorders>
              <w:top w:val="single" w:color="CCCCCC" w:sz="1"/>
              <w:left w:val="single" w:color="CCCCCC" w:sz="1"/>
              <w:bottom w:val="single" w:color="CCCCCC" w:sz="1"/>
              <w:right w:val="single" w:color="CCCCCC" w:sz="1"/>
            </w:tcBorders>
            <w:shd w:fill="FFF0F0" w:val="clear"/>
            <w:tcMar>
              <w:top w:type="dxa" w:w="50"/>
              <w:left w:type="dxa" w:w="120"/>
              <w:bottom w:type="dxa" w:w="50"/>
              <w:right w:type="dxa" w:w="120"/>
            </w:tcMar>
          </w:tcPr>
          <w:p>
            <w:pPr>
              <w:spacing w:after="0" w:before="0"/>
            </w:pPr>
            <w:r>
              <w:rPr>
                <w:rFonts w:ascii="Arial" w:cs="Arial" w:eastAsia="Arial" w:hAnsi="Arial"/>
                <w:b/>
                <w:bCs/>
                <w:i w:val="false"/>
                <w:iCs w:val="false"/>
                <w:color w:val="CC0000"/>
                <w:sz w:val="20"/>
                <w:szCs w:val="20"/>
              </w:rPr>
              <w:t xml:space="preserve">INVOLUNTARY STANDBY — FM Event</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Detained Since</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val="false"/>
                <w:bCs w:val="false"/>
                <w:i w:val="false"/>
                <w:iCs w:val="false"/>
                <w:color w:val="000000"/>
                <w:sz w:val="20"/>
                <w:szCs w:val="20"/>
              </w:rPr>
              <w:t xml:space="preserve">2 March 2026 (D+8 as of today)</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Daily Hire</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val="false"/>
                <w:bCs w:val="false"/>
                <w:i w:val="false"/>
                <w:iCs w:val="false"/>
                <w:color w:val="000000"/>
                <w:sz w:val="20"/>
                <w:szCs w:val="20"/>
              </w:rPr>
              <w:t xml:space="preserve">US$ 12,000/day (Amend. No.1)</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Cumulative Standby Cost</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bCs/>
                <w:i w:val="false"/>
                <w:iCs w:val="false"/>
                <w:color w:val="CC0000"/>
                <w:sz w:val="20"/>
                <w:szCs w:val="20"/>
              </w:rPr>
              <w:t xml:space="preserve">US$ 96,000 (excl. VAT)</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Next Cargo</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val="false"/>
                <w:bCs w:val="false"/>
                <w:i w:val="false"/>
                <w:iCs w:val="false"/>
                <w:color w:val="000000"/>
                <w:sz w:val="20"/>
                <w:szCs w:val="20"/>
              </w:rPr>
              <w:t xml:space="preserve">Transformer Unit No. 5 (5th of 6)</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Cargo Location</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val="false"/>
                <w:bCs w:val="false"/>
                <w:i w:val="false"/>
                <w:iCs w:val="false"/>
                <w:color w:val="000000"/>
                <w:sz w:val="20"/>
                <w:szCs w:val="20"/>
              </w:rPr>
              <w:t xml:space="preserve">Mina Zayed — awaiting vessel return</w:t>
            </w:r>
          </w:p>
        </w:tc>
      </w:tr>
      <w:tr>
        <w:tc>
          <w:tcPr>
            <w:tcW w:type="dxa" w:w="3000"/>
            <w:tcBorders>
              <w:top w:val="single" w:color="CCCCCC" w:sz="1"/>
              <w:left w:val="single" w:color="CCCCCC" w:sz="1"/>
              <w:bottom w:val="single" w:color="CCCCCC" w:sz="1"/>
              <w:right w:val="single" w:color="CCCCCC" w:sz="1"/>
            </w:tcBorders>
            <w:shd w:fill="E8EDF3" w:val="clear"/>
            <w:tcMar>
              <w:top w:type="dxa" w:w="50"/>
              <w:left w:type="dxa" w:w="120"/>
              <w:bottom w:type="dxa" w:w="50"/>
              <w:right w:type="dxa" w:w="120"/>
            </w:tcMar>
          </w:tcPr>
          <w:p>
            <w:pPr>
              <w:spacing w:after="0" w:before="0"/>
            </w:pPr>
            <w:r>
              <w:rPr>
                <w:rFonts w:ascii="Arial" w:cs="Arial" w:eastAsia="Arial" w:hAnsi="Arial"/>
                <w:b/>
                <w:bCs/>
                <w:i w:val="false"/>
                <w:iCs w:val="false"/>
                <w:color w:val="000000"/>
                <w:sz w:val="20"/>
                <w:szCs w:val="20"/>
              </w:rPr>
              <w:t xml:space="preserve">Charter Expiry</w:t>
            </w:r>
          </w:p>
        </w:tc>
        <w:tc>
          <w:tcPr>
            <w:tcW w:type="dxa" w:w="6026"/>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pPr>
              <w:spacing w:after="0" w:before="0"/>
            </w:pPr>
            <w:r>
              <w:rPr>
                <w:rFonts w:ascii="Arial" w:cs="Arial" w:eastAsia="Arial" w:hAnsi="Arial"/>
                <w:b w:val="false"/>
                <w:bCs w:val="false"/>
                <w:i w:val="false"/>
                <w:iCs w:val="false"/>
                <w:color w:val="000000"/>
                <w:sz w:val="20"/>
                <w:szCs w:val="20"/>
              </w:rPr>
              <w:t xml:space="preserve">31 March 2026 (22 days remaining)</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b/>
          <w:bCs/>
          <w:i w:val="false"/>
          <w:iCs w:val="false"/>
          <w:color w:val="1F3864"/>
          <w:sz w:val="28"/>
          <w:szCs w:val="28"/>
        </w:rPr>
        <w:t xml:space="preserve">3. COST IMPACT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13"/>
        <w:gridCol w:w="1813"/>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Period</w:t>
            </w:r>
          </w:p>
        </w:tc>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Dates</w:t>
            </w:r>
          </w:p>
        </w:tc>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Period Cost</w:t>
            </w:r>
          </w:p>
        </w:tc>
        <w:tc>
          <w:tcPr>
            <w:tcW w:type="dxa" w:w="1813"/>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Cumulative</w:t>
            </w:r>
          </w:p>
        </w:tc>
        <w:tc>
          <w:tcPr>
            <w:tcW w:type="dxa" w:w="1813"/>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FM Trigger</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D+1 to D+3</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2-4 Mar</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US$ 36,000</w:t>
            </w:r>
          </w:p>
        </w:tc>
        <w:tc>
          <w:tcPr>
            <w:tcW w:type="dxa" w:w="1813"/>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0000"/>
                <w:sz w:val="18"/>
                <w:szCs w:val="18"/>
              </w:rPr>
              <w:t xml:space="preserve">US$ 36,000</w:t>
            </w:r>
          </w:p>
        </w:tc>
        <w:tc>
          <w:tcPr>
            <w:tcW w:type="dxa" w:w="1813"/>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Security + Weather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D+4 to D+6</w:t>
            </w:r>
          </w:p>
        </w:tc>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5-7 Mar</w:t>
            </w:r>
          </w:p>
        </w:tc>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US$ 36,000</w:t>
            </w:r>
          </w:p>
        </w:tc>
        <w:tc>
          <w:tcPr>
            <w:tcW w:type="dxa" w:w="1813"/>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0000"/>
                <w:sz w:val="18"/>
                <w:szCs w:val="18"/>
              </w:rPr>
              <w:t xml:space="preserve">US$ 72,000</w:t>
            </w:r>
          </w:p>
        </w:tc>
        <w:tc>
          <w:tcPr>
            <w:tcW w:type="dxa" w:w="1813"/>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HM Cast-off Ban</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D+7 to D+8</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8-9 Mar</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US$ 24,000</w:t>
            </w:r>
          </w:p>
        </w:tc>
        <w:tc>
          <w:tcPr>
            <w:tcW w:type="dxa" w:w="1813"/>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0000"/>
                <w:sz w:val="18"/>
                <w:szCs w:val="18"/>
              </w:rPr>
              <w:t xml:space="preserve">US$ 96,000</w:t>
            </w:r>
          </w:p>
        </w:tc>
        <w:tc>
          <w:tcPr>
            <w:tcW w:type="dxa" w:w="1813"/>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No Replacement</w:t>
            </w:r>
          </w:p>
        </w:tc>
      </w:tr>
      <w:tr>
        <w:tc>
          <w:tcPr>
            <w:tcW w:type="dxa" w:w="1800"/>
            <w:tcBorders>
              <w:top w:val="single" w:color="CCCCCC" w:sz="1"/>
              <w:left w:val="single" w:color="CCCCCC" w:sz="1"/>
              <w:bottom w:val="single" w:color="CCCCCC" w:sz="1"/>
              <w:right w:val="single" w:color="CCCCCC" w:sz="1"/>
            </w:tcBorders>
            <w:shd w:fill="FFF0F0" w:val="clear"/>
            <w:tcMar>
              <w:top w:type="dxa" w:w="50"/>
              <w:left w:type="dxa" w:w="80"/>
              <w:bottom w:type="dxa" w:w="50"/>
              <w:right w:type="dxa" w:w="80"/>
            </w:tcMar>
          </w:tcPr>
          <w:p>
            <w:pPr>
              <w:spacing w:after="0" w:before="0"/>
              <w:jc w:val="left"/>
            </w:pPr>
            <w:r>
              <w:rPr>
                <w:rFonts w:ascii="Arial" w:cs="Arial" w:eastAsia="Arial" w:hAnsi="Arial"/>
                <w:b/>
                <w:bCs/>
                <w:i/>
                <w:iCs/>
                <w:color w:val="CC0000"/>
                <w:sz w:val="18"/>
                <w:szCs w:val="18"/>
              </w:rPr>
              <w:t xml:space="preserve">D+9 to D+22</w:t>
            </w:r>
          </w:p>
        </w:tc>
        <w:tc>
          <w:tcPr>
            <w:tcW w:type="dxa" w:w="1800"/>
            <w:tcBorders>
              <w:top w:val="single" w:color="CCCCCC" w:sz="1"/>
              <w:left w:val="single" w:color="CCCCCC" w:sz="1"/>
              <w:bottom w:val="single" w:color="CCCCCC" w:sz="1"/>
              <w:right w:val="single" w:color="CCCCCC" w:sz="1"/>
            </w:tcBorders>
            <w:shd w:fill="FFF0F0" w:val="clear"/>
            <w:tcMar>
              <w:top w:type="dxa" w:w="50"/>
              <w:left w:type="dxa" w:w="80"/>
              <w:bottom w:type="dxa" w:w="50"/>
              <w:right w:type="dxa" w:w="80"/>
            </w:tcMar>
          </w:tcPr>
          <w:p>
            <w:pPr>
              <w:spacing w:after="0" w:before="0"/>
              <w:jc w:val="center"/>
            </w:pPr>
            <w:r>
              <w:rPr>
                <w:rFonts w:ascii="Arial" w:cs="Arial" w:eastAsia="Arial" w:hAnsi="Arial"/>
                <w:b/>
                <w:bCs/>
                <w:i/>
                <w:iCs/>
                <w:color w:val="CC0000"/>
                <w:sz w:val="18"/>
                <w:szCs w:val="18"/>
              </w:rPr>
              <w:t xml:space="preserve">10-31 Mar</w:t>
            </w:r>
          </w:p>
        </w:tc>
        <w:tc>
          <w:tcPr>
            <w:tcW w:type="dxa" w:w="1800"/>
            <w:tcBorders>
              <w:top w:val="single" w:color="CCCCCC" w:sz="1"/>
              <w:left w:val="single" w:color="CCCCCC" w:sz="1"/>
              <w:bottom w:val="single" w:color="CCCCCC" w:sz="1"/>
              <w:right w:val="single" w:color="CCCCCC" w:sz="1"/>
            </w:tcBorders>
            <w:shd w:fill="FFF0F0" w:val="clear"/>
            <w:tcMar>
              <w:top w:type="dxa" w:w="50"/>
              <w:left w:type="dxa" w:w="80"/>
              <w:bottom w:type="dxa" w:w="50"/>
              <w:right w:type="dxa" w:w="80"/>
            </w:tcMar>
          </w:tcPr>
          <w:p>
            <w:pPr>
              <w:spacing w:after="0" w:before="0"/>
              <w:jc w:val="center"/>
            </w:pPr>
            <w:r>
              <w:rPr>
                <w:rFonts w:ascii="Arial" w:cs="Arial" w:eastAsia="Arial" w:hAnsi="Arial"/>
                <w:b/>
                <w:bCs/>
                <w:i/>
                <w:iCs/>
                <w:color w:val="CC0000"/>
                <w:sz w:val="18"/>
                <w:szCs w:val="18"/>
              </w:rPr>
              <w:t xml:space="preserve">US$ 168,000</w:t>
            </w:r>
          </w:p>
        </w:tc>
        <w:tc>
          <w:tcPr>
            <w:tcW w:type="dxa" w:w="1813"/>
            <w:tcBorders>
              <w:top w:val="single" w:color="CCCCCC" w:sz="1"/>
              <w:left w:val="single" w:color="CCCCCC" w:sz="1"/>
              <w:bottom w:val="single" w:color="CCCCCC" w:sz="1"/>
              <w:right w:val="single" w:color="CCCCCC" w:sz="1"/>
            </w:tcBorders>
            <w:shd w:fill="FFF0F0" w:val="clear"/>
            <w:tcMar>
              <w:top w:type="dxa" w:w="50"/>
              <w:left w:type="dxa" w:w="80"/>
              <w:bottom w:type="dxa" w:w="50"/>
              <w:right w:type="dxa" w:w="80"/>
            </w:tcMar>
          </w:tcPr>
          <w:p>
            <w:pPr>
              <w:spacing w:after="0" w:before="0"/>
              <w:jc w:val="center"/>
            </w:pPr>
            <w:r>
              <w:rPr>
                <w:rFonts w:ascii="Arial" w:cs="Arial" w:eastAsia="Arial" w:hAnsi="Arial"/>
                <w:b/>
                <w:bCs/>
                <w:i/>
                <w:iCs/>
                <w:color w:val="CC0000"/>
                <w:sz w:val="18"/>
                <w:szCs w:val="18"/>
              </w:rPr>
              <w:t xml:space="preserve">US$ 264,000</w:t>
            </w:r>
          </w:p>
        </w:tc>
        <w:tc>
          <w:tcPr>
            <w:tcW w:type="dxa" w:w="1813"/>
            <w:tcBorders>
              <w:top w:val="single" w:color="CCCCCC" w:sz="1"/>
              <w:left w:val="single" w:color="CCCCCC" w:sz="1"/>
              <w:bottom w:val="single" w:color="CCCCCC" w:sz="1"/>
              <w:right w:val="single" w:color="CCCCCC" w:sz="1"/>
            </w:tcBorders>
            <w:shd w:fill="FFF0F0" w:val="clear"/>
            <w:tcMar>
              <w:top w:type="dxa" w:w="50"/>
              <w:left w:type="dxa" w:w="80"/>
              <w:bottom w:type="dxa" w:w="50"/>
              <w:right w:type="dxa" w:w="80"/>
            </w:tcMar>
          </w:tcPr>
          <w:p>
            <w:pPr>
              <w:spacing w:after="0" w:before="0"/>
              <w:jc w:val="center"/>
            </w:pPr>
            <w:r>
              <w:rPr>
                <w:rFonts w:ascii="Arial" w:cs="Arial" w:eastAsia="Arial" w:hAnsi="Arial"/>
                <w:b/>
                <w:bCs/>
                <w:i/>
                <w:iCs/>
                <w:color w:val="CC0000"/>
                <w:sz w:val="18"/>
                <w:szCs w:val="18"/>
              </w:rPr>
              <w:t xml:space="preserve">Projected if unresolved</w:t>
            </w:r>
          </w:p>
        </w:tc>
      </w:tr>
    </w:tbl>
    <w:p>
      <w:pPr>
        <w:spacing w:after="160" w:before="120" w:line="276"/>
        <w:jc w:val="left"/>
      </w:pPr>
      <w:r>
        <w:rPr>
          <w:rFonts w:ascii="Arial" w:cs="Arial" w:eastAsia="Arial" w:hAnsi="Arial"/>
          <w:b w:val="false"/>
          <w:bCs w:val="false"/>
          <w:i w:val="false"/>
          <w:iCs w:val="false"/>
          <w:color w:val="000000"/>
          <w:sz w:val="20"/>
          <w:szCs w:val="20"/>
        </w:rPr>
        <w:t xml:space="preserve">Worst-case total exposure (if vessel remains detained through charter expiry): </w:t>
      </w:r>
      <w:r>
        <w:rPr>
          <w:rFonts w:ascii="Arial" w:cs="Arial" w:eastAsia="Arial" w:hAnsi="Arial"/>
          <w:b/>
          <w:bCs/>
          <w:i w:val="false"/>
          <w:iCs w:val="false"/>
          <w:color w:val="CC0000"/>
          <w:sz w:val="20"/>
          <w:szCs w:val="20"/>
        </w:rPr>
        <w:t xml:space="preserve">US$ 264,000 + 5% VAT = US$ 277,200</w:t>
      </w:r>
    </w:p>
    <w:p>
      <w:pPr>
        <w:pStyle w:val="Heading1"/>
      </w:pPr>
      <w:r>
        <w:rPr>
          <w:rFonts w:ascii="Arial" w:cs="Arial" w:eastAsia="Arial" w:hAnsi="Arial"/>
          <w:b/>
          <w:bCs/>
          <w:i w:val="false"/>
          <w:iCs w:val="false"/>
          <w:color w:val="1F3864"/>
          <w:sz w:val="28"/>
          <w:szCs w:val="28"/>
        </w:rPr>
        <w:t xml:space="preserve">4. ACTIONS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826"/>
        <w:gridCol w:w="1400"/>
        <w:gridCol w:w="14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w:t>
            </w:r>
          </w:p>
        </w:tc>
        <w:tc>
          <w:tcPr>
            <w:tcW w:type="dxa" w:w="5826"/>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Action Item</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1</w:t>
            </w:r>
          </w:p>
        </w:tc>
        <w:tc>
          <w:tcPr>
            <w:tcW w:type="dxa" w:w="58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Charter Party full contract analysis (English + Korean)</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2</w:t>
            </w:r>
          </w:p>
        </w:tc>
        <w:tc>
          <w:tcPr>
            <w:tcW w:type="dxa" w:w="58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COST-GUARD 3-option dashboard (Lay-Up vs Standby vs Termination)</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3</w:t>
            </w:r>
          </w:p>
        </w:tc>
        <w:tc>
          <w:tcPr>
            <w:tcW w:type="dxa" w:w="58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Clause 33 Lay-Up Request letter issued to ALS</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4</w:t>
            </w:r>
          </w:p>
        </w:tc>
        <w:tc>
          <w:tcPr>
            <w:tcW w:type="dxa" w:w="58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Lay-Up Rate Scenario comparison (9 rates, interactive)</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5</w:t>
            </w:r>
          </w:p>
        </w:tc>
        <w:tc>
          <w:tcPr>
            <w:tcW w:type="dxa" w:w="58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Internal Summary Memo #1 distributed</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6</w:t>
            </w:r>
          </w:p>
        </w:tc>
        <w:tc>
          <w:tcPr>
            <w:tcW w:type="dxa" w:w="58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WhatsApp evidence compiled &amp; analyzed (2 groups, 600+ messages)</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7</w:t>
            </w:r>
          </w:p>
        </w:tc>
        <w:tc>
          <w:tcPr>
            <w:tcW w:type="dxa" w:w="58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Chronology Report (28 events, 4 phases)</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8</w:t>
            </w:r>
          </w:p>
        </w:tc>
        <w:tc>
          <w:tcPr>
            <w:tcW w:type="dxa" w:w="58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Clause 35 Force Majeure Notice issued to ALS</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SCM/Legal</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9</w:t>
            </w:r>
          </w:p>
        </w:tc>
        <w:tc>
          <w:tcPr>
            <w:tcW w:type="dxa" w:w="58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Internal Summary Memo #2 (this document)</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b/>
          <w:bCs/>
          <w:i w:val="false"/>
          <w:iCs w:val="false"/>
          <w:color w:val="1F3864"/>
          <w:sz w:val="28"/>
          <w:szCs w:val="28"/>
        </w:rPr>
        <w:t xml:space="preserve">5. IMMEDIATE ACTIONS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26"/>
        <w:gridCol w:w="1400"/>
        <w:gridCol w:w="1400"/>
        <w:gridCol w:w="16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w:t>
            </w:r>
          </w:p>
        </w:tc>
        <w:tc>
          <w:tcPr>
            <w:tcW w:type="dxa" w:w="4226"/>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Action Required</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Deadline</w:t>
            </w:r>
          </w:p>
        </w:tc>
        <w:tc>
          <w:tcPr>
            <w:tcW w:type="dxa" w:w="16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1</w:t>
            </w:r>
          </w:p>
        </w:tc>
        <w:tc>
          <w:tcPr>
            <w:tcW w:type="dxa" w:w="4226"/>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Secure PD/CM signature on FM Notice and dispatch to ALS</w:t>
            </w:r>
          </w:p>
        </w:tc>
        <w:tc>
          <w:tcPr>
            <w:tcW w:type="dxa" w:w="14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Legal/SCM</w:t>
            </w:r>
          </w:p>
        </w:tc>
        <w:tc>
          <w:tcPr>
            <w:tcW w:type="dxa" w:w="14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10 Mar</w:t>
            </w:r>
          </w:p>
        </w:tc>
        <w:tc>
          <w:tcPr>
            <w:tcW w:type="dxa" w:w="16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URGENT</w:t>
            </w:r>
          </w:p>
        </w:tc>
      </w:tr>
      <w:tr>
        <w:tc>
          <w:tcPr>
            <w:tcW w:type="dxa" w:w="4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2</w:t>
            </w:r>
          </w:p>
        </w:tc>
        <w:tc>
          <w:tcPr>
            <w:tcW w:type="dxa" w:w="4226"/>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Follow up with ALS for FM acknowledgment (5-day response)</w:t>
            </w:r>
          </w:p>
        </w:tc>
        <w:tc>
          <w:tcPr>
            <w:tcW w:type="dxa" w:w="14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14 Mar</w:t>
            </w:r>
          </w:p>
        </w:tc>
        <w:tc>
          <w:tcPr>
            <w:tcW w:type="dxa" w:w="1600"/>
            <w:tcBorders>
              <w:top w:val="single" w:color="CCCCCC" w:sz="1"/>
              <w:left w:val="single" w:color="CCCCCC" w:sz="1"/>
              <w:bottom w:val="single" w:color="CCCCCC" w:sz="1"/>
              <w:right w:val="single" w:color="CCCCCC" w:sz="1"/>
            </w:tcBorders>
            <w:shd w:fill="FFF5F5"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URGENT</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3</w:t>
            </w:r>
          </w:p>
        </w:tc>
        <w:tc>
          <w:tcPr>
            <w:tcW w:type="dxa" w:w="42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Begin hire reduction negotiation under Cl.33 + Art.249</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Contract Mgr</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12 Mar</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4</w:t>
            </w:r>
          </w:p>
        </w:tc>
        <w:tc>
          <w:tcPr>
            <w:tcW w:type="dxa" w:w="4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Coordinate with ADNOC for vessel release from AGI HM</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SCM/ADNOC</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Ongoing</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HIGH</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5</w:t>
            </w:r>
          </w:p>
        </w:tc>
        <w:tc>
          <w:tcPr>
            <w:tcW w:type="dxa" w:w="42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Prepare arbitration brief if Owner rejects FM + Lay-Up</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Legal</w:t>
            </w:r>
          </w:p>
        </w:tc>
        <w:tc>
          <w:tcPr>
            <w:tcW w:type="dxa" w:w="1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20 Mar</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2E75B6"/>
                <w:sz w:val="18"/>
                <w:szCs w:val="18"/>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6</w:t>
            </w:r>
          </w:p>
        </w:tc>
        <w:tc>
          <w:tcPr>
            <w:tcW w:type="dxa" w:w="4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Update cost model daily and circulate weekly KPI dashboard</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Weekly</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2E75B6"/>
                <w:sz w:val="18"/>
                <w:szCs w:val="18"/>
              </w:rPr>
              <w:t xml:space="preserve">MEDIUM</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b/>
          <w:bCs/>
          <w:i w:val="false"/>
          <w:iCs w:val="false"/>
          <w:color w:val="1F3864"/>
          <w:sz w:val="28"/>
          <w:szCs w:val="28"/>
        </w:rPr>
        <w:t xml:space="preserve">6.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1200"/>
        <w:gridCol w:w="3626"/>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Risk Description</w:t>
            </w:r>
          </w:p>
        </w:tc>
        <w:tc>
          <w:tcPr>
            <w:tcW w:type="dxa" w:w="1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Impact</w:t>
            </w:r>
          </w:p>
        </w:tc>
        <w:tc>
          <w:tcPr>
            <w:tcW w:type="dxa" w:w="3626"/>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Mitigation</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R1</w:t>
            </w:r>
          </w:p>
        </w:tc>
        <w:tc>
          <w:tcPr>
            <w:tcW w:type="dxa" w:w="2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Owner rejects FM claim entirely</w:t>
            </w:r>
          </w:p>
        </w:tc>
        <w:tc>
          <w:tcPr>
            <w:tcW w:type="dxa" w:w="12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HIGH</w:t>
            </w:r>
          </w:p>
        </w:tc>
        <w:tc>
          <w:tcPr>
            <w:tcW w:type="dxa" w:w="12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HIGH</w:t>
            </w:r>
          </w:p>
        </w:tc>
        <w:tc>
          <w:tcPr>
            <w:tcW w:type="dxa" w:w="36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Escalate to ICC Arbitration (Cl.43); UAE Civil Code Art. 249 hardship argument as fallback</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R2</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Vessel detained beyond charter expiry (31 Mar)</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CRITICAL</w:t>
            </w:r>
          </w:p>
        </w:tc>
        <w:tc>
          <w:tcPr>
            <w:tcW w:type="dxa" w:w="36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Exercise Cl.33 Lay-Up immediately to reduce hire; negotiate extension only if FM resolved</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R3</w:t>
            </w:r>
          </w:p>
        </w:tc>
        <w:tc>
          <w:tcPr>
            <w:tcW w:type="dxa" w:w="2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Transformer No.5 delivery delayed &gt;30 days</w:t>
            </w:r>
          </w:p>
        </w:tc>
        <w:tc>
          <w:tcPr>
            <w:tcW w:type="dxa" w:w="12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HIGH</w:t>
            </w:r>
          </w:p>
        </w:tc>
        <w:tc>
          <w:tcPr>
            <w:tcW w:type="dxa" w:w="12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HIGH</w:t>
            </w:r>
          </w:p>
        </w:tc>
        <w:tc>
          <w:tcPr>
            <w:tcW w:type="dxa" w:w="36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Explore alternative vessel; inform client (ADNOC Power) of revised schedule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R4</w:t>
            </w:r>
          </w:p>
        </w:tc>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ALS claims hire continues under Cl.13(a) off-hire exceptions</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HIGH</w:t>
            </w:r>
          </w:p>
        </w:tc>
        <w:tc>
          <w:tcPr>
            <w:tcW w:type="dxa" w:w="36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Counter with FM doctrine (Cl.35 is separate mechanism); cite blockade/govt control as distinct from Cl.13 scenarios</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R5</w:t>
            </w:r>
          </w:p>
        </w:tc>
        <w:tc>
          <w:tcPr>
            <w:tcW w:type="dxa" w:w="2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Security situation escalation at AGI</w:t>
            </w:r>
          </w:p>
        </w:tc>
        <w:tc>
          <w:tcPr>
            <w:tcW w:type="dxa" w:w="12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CRITICAL</w:t>
            </w:r>
          </w:p>
        </w:tc>
        <w:tc>
          <w:tcPr>
            <w:tcW w:type="dxa" w:w="36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left"/>
            </w:pPr>
            <w:r>
              <w:rPr>
                <w:rFonts w:ascii="Arial" w:cs="Arial" w:eastAsia="Arial" w:hAnsi="Arial"/>
                <w:b w:val="false"/>
                <w:bCs w:val="false"/>
                <w:i w:val="false"/>
                <w:iCs w:val="false"/>
                <w:color w:val="000000"/>
                <w:sz w:val="18"/>
                <w:szCs w:val="18"/>
              </w:rPr>
              <w:t xml:space="preserve">Activate emergency evacuation plan; prioritize crew safety over commercial considerations</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r>
        <w:br w:type="page"/>
      </w:r>
    </w:p>
    <w:p>
      <w:pPr>
        <w:pStyle w:val="Heading1"/>
      </w:pPr>
      <w:r>
        <w:rPr>
          <w:rFonts w:ascii="Arial" w:cs="Arial" w:eastAsia="Arial" w:hAnsi="Arial"/>
          <w:b/>
          <w:bCs/>
          <w:i w:val="false"/>
          <w:iCs w:val="false"/>
          <w:color w:val="1F3864"/>
          <w:sz w:val="28"/>
          <w:szCs w:val="28"/>
        </w:rPr>
        <w:t xml:space="preserve">7. DELIVERABLES INVENTORY</w:t>
      </w:r>
    </w:p>
    <w:p>
      <w:pPr>
        <w:spacing w:after="120" w:before="0" w:line="276"/>
        <w:jc w:val="left"/>
      </w:pPr>
      <w:r>
        <w:rPr>
          <w:rFonts w:ascii="Arial" w:cs="Arial" w:eastAsia="Arial" w:hAnsi="Arial"/>
          <w:b w:val="false"/>
          <w:bCs w:val="false"/>
          <w:i w:val="false"/>
          <w:iCs w:val="false"/>
          <w:color w:val="000000"/>
          <w:sz w:val="22"/>
          <w:szCs w:val="22"/>
        </w:rPr>
        <w:t xml:space="preserve">All documents prepared and available for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3226"/>
        <w:gridCol w:w="16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Document</w:t>
            </w:r>
          </w:p>
        </w:tc>
        <w:tc>
          <w:tcPr>
            <w:tcW w:type="dxa" w:w="3226"/>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1</w:t>
            </w:r>
          </w:p>
        </w:tc>
        <w:tc>
          <w:tcPr>
            <w:tcW w:type="dxa" w:w="3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Charter_Cost_Analysis.docx</w:t>
            </w:r>
          </w:p>
        </w:tc>
        <w:tc>
          <w:tcPr>
            <w:tcW w:type="dxa" w:w="32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Full contract analysis (English)</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차터비용_보상분석.docx</w:t>
            </w:r>
          </w:p>
        </w:tc>
        <w:tc>
          <w:tcPr>
            <w:tcW w:type="dxa" w:w="3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Contract analysis (Korean)</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3</w:t>
            </w:r>
          </w:p>
        </w:tc>
        <w:tc>
          <w:tcPr>
            <w:tcW w:type="dxa" w:w="3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COST_GUARD_3Option.html</w:t>
            </w:r>
          </w:p>
        </w:tc>
        <w:tc>
          <w:tcPr>
            <w:tcW w:type="dxa" w:w="32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Lay-Up vs Standby vs Termination dashboard</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Clause33_LayUp_Request.docx</w:t>
            </w:r>
          </w:p>
        </w:tc>
        <w:tc>
          <w:tcPr>
            <w:tcW w:type="dxa" w:w="3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Formal Lay-Up Request letter to ALS</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5</w:t>
            </w:r>
          </w:p>
        </w:tc>
        <w:tc>
          <w:tcPr>
            <w:tcW w:type="dxa" w:w="3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LayUp_Rate_Scenarios.html</w:t>
            </w:r>
          </w:p>
        </w:tc>
        <w:tc>
          <w:tcPr>
            <w:tcW w:type="dxa" w:w="32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9-rate scenario comparison dashboard</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Internal_Summary_#1.docx</w:t>
            </w:r>
          </w:p>
        </w:tc>
        <w:tc>
          <w:tcPr>
            <w:tcW w:type="dxa" w:w="3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First internal summary memo</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SENT</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7</w:t>
            </w:r>
          </w:p>
        </w:tc>
        <w:tc>
          <w:tcPr>
            <w:tcW w:type="dxa" w:w="3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Chronology_Report.docx</w:t>
            </w:r>
          </w:p>
        </w:tc>
        <w:tc>
          <w:tcPr>
            <w:tcW w:type="dxa" w:w="32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28-event FM evidence timeline</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FM_Notice_Clause35.docx</w:t>
            </w:r>
          </w:p>
        </w:tc>
        <w:tc>
          <w:tcPr>
            <w:tcW w:type="dxa" w:w="32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Formal Force Majeure Notice to ALS</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r>
        <w:tc>
          <w:tcPr>
            <w:tcW w:type="dxa" w:w="4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9</w:t>
            </w:r>
          </w:p>
        </w:tc>
        <w:tc>
          <w:tcPr>
            <w:tcW w:type="dxa" w:w="3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Internal_Summary_#2.docx</w:t>
            </w:r>
          </w:p>
        </w:tc>
        <w:tc>
          <w:tcPr>
            <w:tcW w:type="dxa" w:w="32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This document (updated situation report)</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READY</w:t>
            </w:r>
          </w:p>
        </w:tc>
      </w:tr>
    </w:tbl>
    <w:p>
      <w:pPr>
        <w:spacing w:after="8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b/>
          <w:bCs/>
          <w:i w:val="false"/>
          <w:iCs w:val="false"/>
          <w:color w:val="1F3864"/>
          <w:sz w:val="28"/>
          <w:szCs w:val="28"/>
        </w:rPr>
        <w:t xml:space="preserve">8. CRITICAL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26"/>
        <w:gridCol w:w="1800"/>
        <w:gridCol w:w="1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Date</w:t>
            </w:r>
          </w:p>
        </w:tc>
        <w:tc>
          <w:tcPr>
            <w:tcW w:type="dxa" w:w="4026"/>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Milestone</w:t>
            </w:r>
          </w:p>
        </w:tc>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28 Feb</w:t>
            </w:r>
          </w:p>
        </w:tc>
        <w:tc>
          <w:tcPr>
            <w:tcW w:type="dxa" w:w="40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Security situation declared at AGI; ADNOC shutdown</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ADNOC</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2 Mar</w:t>
            </w:r>
          </w:p>
        </w:tc>
        <w:tc>
          <w:tcPr>
            <w:tcW w:type="dxa" w:w="40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HM cast-off ban; vessel detained for evacuation standby</w:t>
            </w:r>
          </w:p>
        </w:tc>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AGI HM</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7 Mar</w:t>
            </w:r>
          </w:p>
        </w:tc>
        <w:tc>
          <w:tcPr>
            <w:tcW w:type="dxa" w:w="40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Full cast-off prohibition confirmed; no replacement vessel</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AGI HM</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008800"/>
                <w:sz w:val="18"/>
                <w:szCs w:val="18"/>
              </w:rPr>
              <w:t xml:space="preserve">DONE</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9 Mar</w:t>
            </w:r>
          </w:p>
        </w:tc>
        <w:tc>
          <w:tcPr>
            <w:tcW w:type="dxa" w:w="40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FM Notice + Lay-Up Request + Chronology Report completed</w:t>
            </w:r>
          </w:p>
        </w:tc>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8800"/>
                <w:sz w:val="18"/>
                <w:szCs w:val="18"/>
              </w:rPr>
              <w:t xml:space="preserve">TODAY</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10 Mar</w:t>
            </w:r>
          </w:p>
        </w:tc>
        <w:tc>
          <w:tcPr>
            <w:tcW w:type="dxa" w:w="40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FM Notice dispatch with PD/CM signature to ALS</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SCM/Legal</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12 Mar</w:t>
            </w:r>
          </w:p>
        </w:tc>
        <w:tc>
          <w:tcPr>
            <w:tcW w:type="dxa" w:w="40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Initiate hire reduction negotiation (Cl.33 + Art.249)</w:t>
            </w:r>
          </w:p>
        </w:tc>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Contract Mgr</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14 Mar</w:t>
            </w:r>
          </w:p>
        </w:tc>
        <w:tc>
          <w:tcPr>
            <w:tcW w:type="dxa" w:w="40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ALS FM response deadline (5 days from dispatch)</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ALS</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17 Mar</w:t>
            </w:r>
          </w:p>
        </w:tc>
        <w:tc>
          <w:tcPr>
            <w:tcW w:type="dxa" w:w="40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Lay-Up Owner response deadline (7 days from notice)</w:t>
            </w:r>
          </w:p>
        </w:tc>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ALS</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20 Mar</w:t>
            </w:r>
          </w:p>
        </w:tc>
        <w:tc>
          <w:tcPr>
            <w:tcW w:type="dxa" w:w="4026"/>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Decision gate: arbitration brief if no resolution</w:t>
            </w:r>
          </w:p>
        </w:tc>
        <w:tc>
          <w:tcPr>
            <w:tcW w:type="dxa" w:w="18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Legal</w:t>
            </w:r>
          </w:p>
        </w:tc>
        <w:tc>
          <w:tcPr>
            <w:tcW w:type="dxa" w:w="1600"/>
            <w:tcBorders>
              <w:top w:val="single" w:color="CCCCCC" w:sz="1"/>
              <w:left w:val="single" w:color="CCCCCC" w:sz="1"/>
              <w:bottom w:val="single" w:color="CCCCCC" w:sz="1"/>
              <w:right w:val="single" w:color="CCCCCC" w:sz="1"/>
            </w:tcBorders>
            <w:shd w:fill="F5F7FA"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bCs/>
                <w:i w:val="false"/>
                <w:iCs w:val="false"/>
                <w:color w:val="000000"/>
                <w:sz w:val="18"/>
                <w:szCs w:val="18"/>
              </w:rPr>
              <w:t xml:space="preserve">31 Mar</w:t>
            </w:r>
          </w:p>
        </w:tc>
        <w:tc>
          <w:tcPr>
            <w:tcW w:type="dxa" w:w="402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pPr>
            <w:r>
              <w:rPr>
                <w:rFonts w:ascii="Arial" w:cs="Arial" w:eastAsia="Arial" w:hAnsi="Arial"/>
                <w:b w:val="false"/>
                <w:bCs w:val="false"/>
                <w:i w:val="false"/>
                <w:iCs w:val="false"/>
                <w:color w:val="000000"/>
                <w:sz w:val="18"/>
                <w:szCs w:val="18"/>
              </w:rPr>
              <w:t xml:space="preserve">Charter expiry — final cost settlement</w:t>
            </w:r>
          </w:p>
        </w:tc>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val="false"/>
                <w:bCs w:val="false"/>
                <w:i w:val="false"/>
                <w:iCs w:val="false"/>
                <w:color w:val="000000"/>
                <w:sz w:val="18"/>
                <w:szCs w:val="18"/>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before="0"/>
              <w:jc w:val="center"/>
            </w:pPr>
            <w:r>
              <w:rPr>
                <w:rFonts w:ascii="Arial" w:cs="Arial" w:eastAsia="Arial" w:hAnsi="Arial"/>
                <w:b/>
                <w:bCs/>
                <w:i w:val="false"/>
                <w:iCs w:val="false"/>
                <w:color w:val="CC0000"/>
                <w:sz w:val="18"/>
                <w:szCs w:val="18"/>
              </w:rPr>
              <w:t xml:space="preserve">PENDING</w:t>
            </w:r>
          </w:p>
        </w:tc>
      </w:tr>
    </w:tbl>
    <w:p>
      <w:pPr>
        <w:spacing w:after="160" w:before="0" w:line="276"/>
        <w:jc w:val="left"/>
      </w:pPr>
      <w:r>
        <w:rPr>
          <w:rFonts w:ascii="Arial" w:cs="Arial" w:eastAsia="Arial" w:hAnsi="Arial"/>
          <w:b w:val="false"/>
          <w:bCs w:val="false"/>
          <w:i w:val="false"/>
          <w:iCs w:val="false"/>
          <w:color w:val="000000"/>
          <w:sz w:val="22"/>
          <w:szCs w:val="22"/>
        </w:rPr>
        <w:t xml:space="preserve"/>
      </w:r>
    </w:p>
    <w:p>
      <w:pPr>
        <w:pStyle w:val="Heading1"/>
      </w:pPr>
      <w:r>
        <w:rPr>
          <w:rFonts w:ascii="Arial" w:cs="Arial" w:eastAsia="Arial" w:hAnsi="Arial"/>
          <w:b/>
          <w:bCs/>
          <w:i w:val="false"/>
          <w:iCs w:val="false"/>
          <w:color w:val="1F3864"/>
          <w:sz w:val="28"/>
          <w:szCs w:val="28"/>
        </w:rPr>
        <w:t xml:space="preserve">9. LEGAL STRATEGY SUMMARY</w:t>
      </w:r>
    </w:p>
    <w:p>
      <w:pPr>
        <w:spacing w:after="120" w:before="0" w:line="276"/>
        <w:jc w:val="left"/>
      </w:pPr>
      <w:r>
        <w:rPr>
          <w:rFonts w:ascii="Arial" w:cs="Arial" w:eastAsia="Arial" w:hAnsi="Arial"/>
          <w:b w:val="false"/>
          <w:bCs w:val="false"/>
          <w:i w:val="false"/>
          <w:iCs w:val="false"/>
          <w:color w:val="000000"/>
          <w:sz w:val="22"/>
          <w:szCs w:val="22"/>
        </w:rPr>
        <w:t xml:space="preserve">The dual-track approach (FM Notice + Lay-Up Request) is designed to maximize Samsung C&amp;T's negotiation position:</w:t>
      </w:r>
    </w:p>
    <w:p>
      <w:pPr>
        <w:spacing w:after="100" w:before="0" w:line="276"/>
        <w:jc w:val="left"/>
      </w:pPr>
      <w:r>
        <w:rPr>
          <w:rFonts w:ascii="Arial" w:cs="Arial" w:eastAsia="Arial" w:hAnsi="Arial"/>
          <w:b/>
          <w:bCs/>
          <w:i w:val="false"/>
          <w:iCs w:val="false"/>
          <w:color w:val="000000"/>
          <w:sz w:val="22"/>
          <w:szCs w:val="22"/>
        </w:rPr>
        <w:t xml:space="preserve">Track 1 — Clause 35 FM Notice: </w:t>
      </w:r>
      <w:r>
        <w:rPr>
          <w:rFonts w:ascii="Arial" w:cs="Arial" w:eastAsia="Arial" w:hAnsi="Arial"/>
          <w:b w:val="false"/>
          <w:bCs w:val="false"/>
          <w:i w:val="false"/>
          <w:iCs w:val="false"/>
          <w:color w:val="000000"/>
          <w:sz w:val="22"/>
          <w:szCs w:val="22"/>
        </w:rPr>
        <w:t xml:space="preserve">Establishes legal record that the standby is caused by force majeure events beyond Charterer’s control. Even though Cl.35 does not suspend hire (per Cl.13(a)), it shields against liability claims and forms the basis for equitable relief under UAE Civil Code Art. 249.</w:t>
      </w:r>
    </w:p>
    <w:p>
      <w:pPr>
        <w:spacing w:after="100" w:before="0" w:line="276"/>
        <w:jc w:val="left"/>
      </w:pPr>
      <w:r>
        <w:rPr>
          <w:rFonts w:ascii="Arial" w:cs="Arial" w:eastAsia="Arial" w:hAnsi="Arial"/>
          <w:b/>
          <w:bCs/>
          <w:i w:val="false"/>
          <w:iCs w:val="false"/>
          <w:color w:val="000000"/>
          <w:sz w:val="22"/>
          <w:szCs w:val="22"/>
        </w:rPr>
        <w:t xml:space="preserve">Track 2 — Clause 33 Lay-Up Request: </w:t>
      </w:r>
      <w:r>
        <w:rPr>
          <w:rFonts w:ascii="Arial" w:cs="Arial" w:eastAsia="Arial" w:hAnsi="Arial"/>
          <w:b w:val="false"/>
          <w:bCs w:val="false"/>
          <w:i w:val="false"/>
          <w:iCs w:val="false"/>
          <w:color w:val="000000"/>
          <w:sz w:val="22"/>
          <w:szCs w:val="22"/>
        </w:rPr>
        <w:t xml:space="preserve">Triggers the contractual mechanism for hire reduction during periods of vessel non-utilization. Combined with FM grounds, creates compelling case for Owner to agree to reduced rate during detention period.</w:t>
      </w:r>
    </w:p>
    <w:p>
      <w:pPr>
        <w:spacing w:after="200" w:before="0" w:line="276"/>
        <w:jc w:val="left"/>
      </w:pPr>
      <w:r>
        <w:rPr>
          <w:rFonts w:ascii="Arial" w:cs="Arial" w:eastAsia="Arial" w:hAnsi="Arial"/>
          <w:b/>
          <w:bCs/>
          <w:i w:val="false"/>
          <w:iCs w:val="false"/>
          <w:color w:val="000000"/>
          <w:sz w:val="22"/>
          <w:szCs w:val="22"/>
        </w:rPr>
        <w:t xml:space="preserve">Fallback — ICC Arbitration: </w:t>
      </w:r>
      <w:r>
        <w:rPr>
          <w:rFonts w:ascii="Arial" w:cs="Arial" w:eastAsia="Arial" w:hAnsi="Arial"/>
          <w:b w:val="false"/>
          <w:bCs w:val="false"/>
          <w:i w:val="false"/>
          <w:iCs w:val="false"/>
          <w:color w:val="000000"/>
          <w:sz w:val="22"/>
          <w:szCs w:val="22"/>
        </w:rPr>
        <w:t xml:space="preserve">If Owner rejects both FM and Lay-Up, Additional Clause 43 provides for ICC arbitration in Abu Dhabi. The Chronology Report and WhatsApp evidence provide strong evidentiary foundation. UAE courts are generally receptive to Art. 249 hardship arguments.</w:t>
      </w:r>
    </w:p>
    <w:p>
      <w:pPr>
        <w:spacing w:after="160" w:before="0" w:line="276"/>
        <w:jc w:val="left"/>
      </w:pPr>
      <w:r>
        <w:rPr>
          <w:rFonts w:ascii="Arial" w:cs="Arial" w:eastAsia="Arial" w:hAnsi="Arial"/>
          <w:b w:val="false"/>
          <w:bCs w:val="false"/>
          <w:i w:val="false"/>
          <w:iCs w:val="false"/>
          <w:color w:val="000000"/>
          <w:sz w:val="22"/>
          <w:szCs w:val="22"/>
        </w:rPr>
        <w:t xml:space="preserve">This memo supersedes Internal Summary #1 dated 9 March 2026. Next update will be issued upon receipt of Owner’s response to the FM Notice or upon material change in vessel status.</w:t>
      </w:r>
    </w:p>
    <w:p>
      <w:pPr>
        <w:spacing w:after="80" w:before="0" w:line="276"/>
        <w:jc w:val="left"/>
      </w:pPr>
      <w:r>
        <w:rPr>
          <w:rFonts w:ascii="Arial" w:cs="Arial" w:eastAsia="Arial" w:hAnsi="Arial"/>
          <w:b w:val="false"/>
          <w:bCs w:val="false"/>
          <w:i w:val="false"/>
          <w:iCs w:val="false"/>
          <w:color w:val="000000"/>
          <w:sz w:val="22"/>
          <w:szCs w:val="22"/>
        </w:rPr>
        <w:t xml:space="preserve"/>
      </w:r>
    </w:p>
    <w:p>
      <w:pPr>
        <w:spacing w:after="40" w:before="0" w:line="276"/>
        <w:jc w:val="left"/>
      </w:pPr>
      <w:r>
        <w:rPr>
          <w:rFonts w:ascii="Arial" w:cs="Arial" w:eastAsia="Arial" w:hAnsi="Arial"/>
          <w:b w:val="false"/>
          <w:bCs w:val="false"/>
          <w:i w:val="false"/>
          <w:iCs w:val="false"/>
          <w:color w:val="000000"/>
          <w:sz w:val="22"/>
          <w:szCs w:val="22"/>
        </w:rPr>
        <w:t xml:space="preserve">Respectfully submitted,</w:t>
      </w:r>
    </w:p>
    <w:p>
      <w:pPr>
        <w:spacing w:after="40" w:before="0" w:line="276"/>
        <w:jc w:val="left"/>
      </w:pPr>
      <w:r>
        <w:rPr>
          <w:rFonts w:ascii="Arial" w:cs="Arial" w:eastAsia="Arial" w:hAnsi="Arial"/>
          <w:b w:val="false"/>
          <w:bCs w:val="false"/>
          <w:i w:val="false"/>
          <w:iCs w:val="false"/>
          <w:color w:val="000000"/>
          <w:sz w:val="22"/>
          <w:szCs w:val="22"/>
        </w:rPr>
        <w:t xml:space="preserve">Project Logistics / SCM Department</w:t>
      </w:r>
    </w:p>
    <w:p>
      <w:pPr>
        <w:spacing w:after="40" w:before="0" w:line="276"/>
        <w:jc w:val="left"/>
      </w:pPr>
      <w:r>
        <w:rPr>
          <w:rFonts w:ascii="Arial" w:cs="Arial" w:eastAsia="Arial" w:hAnsi="Arial"/>
          <w:b w:val="false"/>
          <w:bCs w:val="false"/>
          <w:i w:val="false"/>
          <w:iCs w:val="false"/>
          <w:color w:val="000000"/>
          <w:sz w:val="22"/>
          <w:szCs w:val="22"/>
        </w:rPr>
        <w:t xml:space="preserve">Samsung C&amp;T Corporation</w:t>
      </w:r>
    </w:p>
    <w:p>
      <w:pPr>
        <w:spacing w:after="120" w:before="0" w:line="276"/>
        <w:jc w:val="left"/>
      </w:pPr>
      <w:r>
        <w:rPr>
          <w:rFonts w:ascii="Arial" w:cs="Arial" w:eastAsia="Arial" w:hAnsi="Arial"/>
          <w:b w:val="false"/>
          <w:bCs w:val="false"/>
          <w:i w:val="false"/>
          <w:iCs w:val="false"/>
          <w:color w:val="000000"/>
          <w:sz w:val="22"/>
          <w:szCs w:val="22"/>
        </w:rPr>
        <w:t xml:space="preserve">HVDC Interconnector Project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b w:val="false"/>
        <w:bCs w:val="false"/>
        <w:i w:val="false"/>
        <w:iCs w:val="false"/>
        <w:color w:val="999999"/>
        <w:sz w:val="16"/>
        <w:szCs w:val="16"/>
      </w:rPr>
      <w:t xml:space="preserve">CONFIDENTIAL — JOPETWIL 71 Standby Situation</w:t>
    </w:r>
    <w:r>
      <w:rPr>
        <w:rFonts w:ascii="Arial" w:cs="Arial" w:eastAsia="Arial" w:hAnsi="Arial"/>
        <w:sz w:val="16"/>
        <w:szCs w:val="16"/>
      </w:rPr>
      <w:t xml:space="preserve">	</w:t>
    </w:r>
    <w:r>
      <w:rPr>
        <w:rFonts w:ascii="Arial" w:cs="Arial" w:eastAsia="Arial" w:hAnsi="Arial"/>
        <w:b w:val="false"/>
        <w:bCs w:val="false"/>
        <w:i w:val="false"/>
        <w:iCs w:val="false"/>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8A0" w:sz="6" w:space="1"/>
      </w:pBdr>
      <w:tabs>
        <w:tab w:val="right" w:pos="9026"/>
      </w:tabs>
      <w:spacing w:after="0"/>
    </w:pPr>
    <w:r>
      <w:rPr>
        <w:rFonts w:ascii="Arial" w:cs="Arial" w:eastAsia="Arial" w:hAnsi="Arial"/>
        <w:b/>
        <w:bCs/>
        <w:i w:val="false"/>
        <w:iCs w:val="false"/>
        <w:color w:val="1428A0"/>
        <w:sz w:val="20"/>
        <w:szCs w:val="20"/>
      </w:rPr>
      <w:t xml:space="preserve">SAMSUNG C&amp;T CORPORATION</w:t>
    </w:r>
    <w:r>
      <w:rPr>
        <w:rFonts w:ascii="Arial" w:cs="Arial" w:eastAsia="Arial" w:hAnsi="Arial"/>
        <w:sz w:val="16"/>
        <w:szCs w:val="16"/>
      </w:rPr>
      <w:t xml:space="preserve">	</w:t>
    </w:r>
    <w:r>
      <w:rPr>
        <w:rFonts w:ascii="Arial" w:cs="Arial" w:eastAsia="Arial" w:hAnsi="Arial"/>
        <w:b/>
        <w:bCs/>
        <w:i w:val="false"/>
        <w:iCs w:val="false"/>
        <w:color w:val="CC0000"/>
        <w:sz w:val="18"/>
        <w:szCs w:val="18"/>
      </w:rPr>
      <w:t xml:space="preserve">INTERNAL MEMO — UPDATE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2026-03-09T08:57:40.389Z</dcterms:created>
  <dcterms:modified xsi:type="dcterms:W3CDTF">2026-03-09T08:57:40.389Z</dcterms:modified>
</cp:coreProperties>
</file>

<file path=docProps/custom.xml><?xml version="1.0" encoding="utf-8"?>
<Properties xmlns="http://schemas.openxmlformats.org/officeDocument/2006/custom-properties" xmlns:vt="http://schemas.openxmlformats.org/officeDocument/2006/docPropsVTypes"/>
</file>