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A237E"/>
          <w:sz w:val="48"/>
          <w:szCs w:val="48"/>
        </w:rPr>
        <w:t xml:space="preserve">JPT71 HVDC PROJECT</w:t>
      </w:r>
    </w:p>
    <w:p>
      <w:pPr>
        <w:spacing w:after="100"/>
        <w:jc w:val="center"/>
      </w:pPr>
      <w:r>
        <w:rPr>
          <w:rFonts w:ascii="Arial" w:cs="Arial" w:eastAsia="Arial" w:hAnsi="Arial"/>
          <w:color w:val="1565C0"/>
          <w:sz w:val="36"/>
          <w:szCs w:val="36"/>
        </w:rPr>
        <w:t xml:space="preserve">Voyage Cost Reconciliation Report</w:t>
      </w:r>
    </w:p>
    <w:p>
      <w:pPr>
        <w:spacing w:after="60"/>
        <w:jc w:val="center"/>
      </w:pPr>
      <w:r>
        <w:rPr>
          <w:rFonts w:ascii="Arial" w:cs="Arial" w:eastAsia="Arial" w:hAnsi="Arial"/>
          <w:color w:val="616161"/>
          <w:sz w:val="28"/>
          <w:szCs w:val="28"/>
        </w:rPr>
        <w:t xml:space="preserve">v5.3 — Comprehensive Analysis</w:t>
      </w:r>
    </w:p>
    <w:p>
      <w:pPr>
        <w:pBdr>
          <w:top w:val="single" w:color="1A237E" w:sz="6" w:space="12"/>
        </w:pBdr>
        <w:spacing w:after="100" w:before="600"/>
        <w:jc w:val="center"/>
      </w:pPr>
    </w:p>
    <w:p>
      <w:pPr>
        <w:spacing w:after="80"/>
        <w:jc w:val="center"/>
      </w:pPr>
      <w:r>
        <w:rPr>
          <w:rFonts w:ascii="Arial" w:cs="Arial" w:eastAsia="Arial" w:hAnsi="Arial"/>
          <w:color w:val="616161"/>
          <w:sz w:val="22"/>
          <w:szCs w:val="22"/>
        </w:rPr>
        <w:t xml:space="preserve">Samsung C&amp;T Corporation · Project Logistics Division</w:t>
      </w:r>
    </w:p>
    <w:p>
      <w:pPr>
        <w:spacing w:after="80"/>
        <w:jc w:val="center"/>
      </w:pPr>
      <w:r>
        <w:rPr>
          <w:rFonts w:ascii="Arial" w:cs="Arial" w:eastAsia="Arial" w:hAnsi="Arial"/>
          <w:color w:val="616161"/>
          <w:sz w:val="22"/>
          <w:szCs w:val="22"/>
        </w:rPr>
        <w:t xml:space="preserve">ADNOC Offshore HVDC Interconnection Project</w:t>
      </w:r>
    </w:p>
    <w:p>
      <w:pPr>
        <w:spacing w:after="80"/>
        <w:jc w:val="center"/>
      </w:pPr>
      <w:r>
        <w:rPr>
          <w:rFonts w:ascii="Arial" w:cs="Arial" w:eastAsia="Arial" w:hAnsi="Arial"/>
          <w:color w:val="616161"/>
          <w:sz w:val="22"/>
          <w:szCs w:val="22"/>
        </w:rPr>
        <w:t xml:space="preserve">Period: July 2024 – February 2026 (19 Months)</w:t>
      </w:r>
    </w:p>
    <w:p>
      <w:pPr>
        <w:spacing w:after="80" w:before="300"/>
        <w:jc w:val="center"/>
      </w:pPr>
      <w:r>
        <w:rPr>
          <w:rFonts w:ascii="Arial" w:cs="Arial" w:eastAsia="Arial" w:hAnsi="Arial"/>
          <w:color w:val="616161"/>
          <w:sz w:val="20"/>
          <w:szCs w:val="20"/>
        </w:rPr>
        <w:t xml:space="preserve">Report Date: 10 March 2026</w:t>
      </w:r>
    </w:p>
    <w:p>
      <w:pPr>
        <w:jc w:val="center"/>
      </w:pPr>
      <w:r>
        <w:rPr>
          <w:rFonts w:ascii="Arial" w:cs="Arial" w:eastAsia="Arial" w:hAnsi="Arial"/>
          <w:i/>
          <w:iCs/>
          <w:color w:val="616161"/>
          <w:sz w:val="20"/>
          <w:szCs w:val="20"/>
        </w:rPr>
        <w:t xml:space="preserve">Prepared by: MACHO-GPT v5.3 / Project Logistics Analytics</w:t>
      </w:r>
    </w:p>
    <w:p>
      <w:pPr>
        <w:sectPr>
          <w:pgSz w:w="11906" w:h="16838" w:orient="portrait"/>
          <w:pgMar w:top="2880" w:right="1440" w:bottom="1440" w:left="1440" w:header="708" w:footer="708" w:gutter="0"/>
          <w:pgNumType/>
          <w:docGrid w:linePitch="360"/>
        </w:sectPr>
      </w:pPr>
    </w:p>
    <w:p>
      <w:pPr>
        <w:pStyle w:val="Heading1"/>
      </w:pPr>
      <w:r>
        <w:t xml:space="preserve">1. Executive Summary</w:t>
      </w:r>
    </w:p>
    <w:p>
      <w:pPr>
        <w:spacing w:after="120"/>
      </w:pPr>
      <w:r>
        <w:t xml:space="preserve">This report provides a comprehensive reconciliation and cost analysis of vessel logistics operations for the JPT71 HVDC Interconnection Project (ADNOC Offshore). The analysis covers 19 months of operations (July 2024 through February 2026), integrating three sub-contractor cost streams: OFCO (vessel time charter operations), Global Maritime (GM, marine survey services), and ALS (charter hiring).</w:t>
      </w:r>
    </w:p>
    <w:p>
      <w:pPr>
        <w:pStyle w:val="Heading2"/>
      </w:pPr>
      <w:r>
        <w:t xml:space="preserve">Key Performance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20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Value</w:t>
            </w:r>
          </w:p>
        </w:tc>
        <w:tc>
          <w:tcPr>
            <w:tcW w:type="dxa" w:w="20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Unit</w:t>
            </w:r>
          </w:p>
        </w:tc>
        <w:tc>
          <w:tcPr>
            <w:tcW w:type="dxa" w:w="2026"/>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Total Integrated Cost</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1A237E"/>
                <w:sz w:val="18"/>
                <w:szCs w:val="18"/>
              </w:rPr>
              <w:t xml:space="preserve">27,480,131</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AED</w:t>
            </w:r>
          </w:p>
        </w:tc>
        <w:tc>
          <w:tcPr>
            <w:tcW w:type="dxa" w:w="2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OFCO+GM+ALS</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Total Tonnage (Reconciled)</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64,641</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metric tons</w:t>
            </w:r>
          </w:p>
        </w:tc>
        <w:tc>
          <w:tcPr>
            <w:tcW w:type="dxa" w:w="2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OFCO voyages</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Blended Cost Rate</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F57F17"/>
                <w:sz w:val="18"/>
                <w:szCs w:val="18"/>
              </w:rPr>
              <w:t xml:space="preserve">314.67</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AED/ton</w:t>
            </w:r>
          </w:p>
        </w:tc>
        <w:tc>
          <w:tcPr>
            <w:tcW w:type="dxa" w:w="2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All-in rate</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Total Voyages</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106</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voyages</w:t>
            </w:r>
          </w:p>
        </w:tc>
        <w:tc>
          <w:tcPr>
            <w:tcW w:type="dxa" w:w="2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OFCO matched</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Operating Period</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19</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months</w:t>
            </w:r>
          </w:p>
        </w:tc>
        <w:tc>
          <w:tcPr>
            <w:tcW w:type="dxa" w:w="2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Jul 2024 – Feb 2026</w:t>
            </w:r>
          </w:p>
        </w:tc>
      </w:tr>
      <w:tr>
        <w:tc>
          <w:tcPr>
            <w:tcW w:type="dxa" w:w="3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ALS Cost Share</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C62828"/>
                <w:sz w:val="18"/>
                <w:szCs w:val="18"/>
              </w:rPr>
              <w:t xml:space="preserve">78.7%</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of total</w:t>
            </w:r>
          </w:p>
        </w:tc>
        <w:tc>
          <w:tcPr>
            <w:tcW w:type="dxa" w:w="2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Fixed cost dominant</w:t>
            </w:r>
          </w:p>
        </w:tc>
      </w:tr>
    </w:tbl>
    <w:p>
      <w:pPr>
        <w:spacing w:after="120" w:before="200"/>
      </w:pPr>
      <w:r>
        <w:rPr>
          <w:b/>
          <w:bCs/>
          <w:color w:val="C62828"/>
        </w:rPr>
        <w:t xml:space="preserve">Critical Finding: </w:t>
      </w:r>
      <w:r>
        <w:t xml:space="preserve">ALS charter hire constitutes 78.7% of total project logistics cost (AED 21.6M of 27.5M) as a fixed monthly expense averaging AED 1.14M/month. Monthly tonnage variation is the primary driver of cost efficiency, with AED/ton ranging from 130.5 (Sep 2024, 12,388t) to 1,257.5 (Feb 2025, 1,282t).</w:t>
      </w:r>
    </w:p>
    <w:p>
      <w:r>
        <w:br w:type="page"/>
      </w:r>
    </w:p>
    <w:p>
      <w:pPr>
        <w:pStyle w:val="Heading1"/>
      </w:pPr>
      <w:r>
        <w:t xml:space="preserve">2. Scope and Methodology</w:t>
      </w:r>
    </w:p>
    <w:p>
      <w:pPr>
        <w:pStyle w:val="Heading2"/>
      </w:pPr>
      <w:r>
        <w:t xml:space="preserve">2.1 Data Sources</w:t>
      </w:r>
    </w:p>
    <w:p>
      <w:pPr>
        <w:pStyle w:val="ListParagraph"/>
        <w:numPr>
          <w:ilvl w:val="0"/>
          <w:numId w:val="2"/>
        </w:numPr>
        <w:spacing w:after="60"/>
      </w:pPr>
      <w:r>
        <w:rPr>
          <w:b/>
          <w:bCs/>
        </w:rPr>
        <w:t xml:space="preserve">JPT-reconciled_v5.3.xlsx: </w:t>
      </w:r>
      <w:r>
        <w:t xml:space="preserve">Master workbook with 12 sheets — OFCO invoices (1,304 line items), voyage records (133 voyages), decklog (382 operational days), and integrated cost allocations</w:t>
      </w:r>
    </w:p>
    <w:p>
      <w:pPr>
        <w:pStyle w:val="ListParagraph"/>
        <w:numPr>
          <w:ilvl w:val="0"/>
          <w:numId w:val="2"/>
        </w:numPr>
        <w:spacing w:after="60"/>
      </w:pPr>
      <w:r>
        <w:rPr>
          <w:b/>
          <w:bCs/>
        </w:rPr>
        <w:t xml:space="preserve">기성.xlsx (Progress Payment): </w:t>
      </w:r>
      <w:r>
        <w:t xml:space="preserve">57 invoices across 3 sub-contractors (OFCO, GM, ALS) with 92 GRM voyage records for GM allocation mapping</w:t>
      </w:r>
    </w:p>
    <w:p>
      <w:pPr>
        <w:pStyle w:val="ListParagraph"/>
        <w:numPr>
          <w:ilvl w:val="0"/>
          <w:numId w:val="2"/>
        </w:numPr>
        <w:spacing w:after="60"/>
      </w:pPr>
      <w:r>
        <w:rPr>
          <w:b/>
          <w:bCs/>
        </w:rPr>
        <w:t xml:space="preserve">DECKLOG data: </w:t>
      </w:r>
      <w:r>
        <w:t xml:space="preserve">382 operational day records (post ADNOC 225 exclusion) covering fuel consumption, vessel activities, and port operations</w:t>
      </w:r>
    </w:p>
    <w:p>
      <w:pPr>
        <w:pStyle w:val="Heading2"/>
      </w:pPr>
      <w:r>
        <w:t xml:space="preserve">2.2 Allocation Methodology</w:t>
      </w:r>
    </w:p>
    <w:p>
      <w:pPr>
        <w:spacing w:after="80"/>
      </w:pPr>
      <w:r>
        <w:rPr>
          <w:b/>
          <w:bCs/>
        </w:rPr>
        <w:t xml:space="preserve">OFCO: </w:t>
      </w:r>
      <w:r>
        <w:t xml:space="preserve">Direct invoice-to-voyage matching using Voyage ID cross-referencing. 1,031 direct matches + 37 prorate-applied + 34 multi-prorated line items. Classification system (CLS_TYPE) tags each line as DIRECT, PRORATE_APPLIED, MULTI_PRORATED, BUSHRA_EXCLUDED, or JUMBOBAG.</w:t>
      </w:r>
    </w:p>
    <w:p>
      <w:pPr>
        <w:spacing w:after="80"/>
      </w:pPr>
      <w:r>
        <w:rPr>
          <w:b/>
          <w:bCs/>
        </w:rPr>
        <w:t xml:space="preserve">GM (Global Maritime): </w:t>
      </w:r>
      <w:r>
        <w:t xml:space="preserve">Invoice → grm_voyage mapping → tonnage-prorated allocation across voyages within each invoice batch. 12 invoices → 92 voyage allocations. Coverage: 98.8% (AED 598,986 of 606,148). One unmatched invoice AD_0010625 (AED 7,161).</w:t>
      </w:r>
    </w:p>
    <w:p>
      <w:pPr>
        <w:spacing w:after="80"/>
      </w:pPr>
      <w:r>
        <w:rPr>
          <w:b/>
          <w:bCs/>
        </w:rPr>
        <w:t xml:space="preserve">ALS (Charter Hiring): </w:t>
      </w:r>
      <w:r>
        <w:t xml:space="preserve">Supply month → ALL voyages (GRM + SCT) in that month → tonnage-prorated allocation. 21 invoices → 154 voyage allocations. Coverage: 100.0%. Key correction: used VOYAGE sheet (all 133 voyages) instead of grm_voyage (92 GRM-only) to capture SCT voyages in Feb–Mar 2025.</w:t>
      </w:r>
    </w:p>
    <w:p>
      <w:r>
        <w:br w:type="page"/>
      </w:r>
    </w:p>
    <w:p>
      <w:pPr>
        <w:pStyle w:val="Heading1"/>
      </w:pPr>
      <w:r>
        <w:t xml:space="preserve">3. Cost Breakdown by Sub-Contractor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026"/>
      </w:tblGrid>
      <w:tr>
        <w:tc>
          <w:tcPr>
            <w:tcW w:type="dxa" w:w="22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Sub-Contractor</w:t>
            </w:r>
          </w:p>
        </w:tc>
        <w:tc>
          <w:tcPr>
            <w:tcW w:type="dxa" w:w="16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Total AED</w:t>
            </w:r>
          </w:p>
        </w:tc>
        <w:tc>
          <w:tcPr>
            <w:tcW w:type="dxa" w:w="16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Share %</w:t>
            </w:r>
          </w:p>
        </w:tc>
        <w:tc>
          <w:tcPr>
            <w:tcW w:type="dxa" w:w="16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Cost Type</w:t>
            </w:r>
          </w:p>
        </w:tc>
        <w:tc>
          <w:tcPr>
            <w:tcW w:type="dxa" w:w="2026"/>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Rate</w:t>
            </w:r>
          </w:p>
        </w:tc>
      </w:tr>
      <w:tr>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bCs/>
                <w:color w:val="1565C0"/>
                <w:sz w:val="18"/>
                <w:szCs w:val="18"/>
              </w:rPr>
              <w:t xml:space="preserve">ALS (Charter)</w:t>
            </w:r>
          </w:p>
        </w:tc>
        <w:tc>
          <w:tcPr>
            <w:tcW w:type="dxa" w:w="1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21,637,319</w:t>
            </w:r>
          </w:p>
        </w:tc>
        <w:tc>
          <w:tcPr>
            <w:tcW w:type="dxa" w:w="1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C62828"/>
                <w:sz w:val="18"/>
                <w:szCs w:val="18"/>
              </w:rPr>
              <w:t xml:space="preserve">78.7%</w:t>
            </w:r>
          </w:p>
        </w:tc>
        <w:tc>
          <w:tcPr>
            <w:tcW w:type="dxa" w:w="1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Fixed</w:t>
            </w:r>
          </w:p>
        </w:tc>
        <w:tc>
          <w:tcPr>
            <w:tcW w:type="dxa" w:w="2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~1.14M/mo</w:t>
            </w:r>
          </w:p>
        </w:tc>
      </w:tr>
      <w:tr>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bCs/>
                <w:color w:val="F57F17"/>
                <w:sz w:val="18"/>
                <w:szCs w:val="18"/>
              </w:rPr>
              <w:t xml:space="preserve">OFCO (Vessel Ops)</w:t>
            </w:r>
          </w:p>
        </w:tc>
        <w:tc>
          <w:tcPr>
            <w:tcW w:type="dxa" w:w="1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5,243,825</w:t>
            </w:r>
          </w:p>
        </w:tc>
        <w:tc>
          <w:tcPr>
            <w:tcW w:type="dxa" w:w="1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19.1%</w:t>
            </w:r>
          </w:p>
        </w:tc>
        <w:tc>
          <w:tcPr>
            <w:tcW w:type="dxa" w:w="1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Variable</w:t>
            </w:r>
          </w:p>
        </w:tc>
        <w:tc>
          <w:tcPr>
            <w:tcW w:type="dxa" w:w="2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81.12/ton</w:t>
            </w:r>
          </w:p>
        </w:tc>
      </w:tr>
      <w:tr>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GM (Survey)</w:t>
            </w:r>
          </w:p>
        </w:tc>
        <w:tc>
          <w:tcPr>
            <w:tcW w:type="dxa" w:w="1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598,986</w:t>
            </w:r>
          </w:p>
        </w:tc>
        <w:tc>
          <w:tcPr>
            <w:tcW w:type="dxa" w:w="1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2.2%</w:t>
            </w:r>
          </w:p>
        </w:tc>
        <w:tc>
          <w:tcPr>
            <w:tcW w:type="dxa" w:w="1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Semi-variable</w:t>
            </w:r>
          </w:p>
        </w:tc>
        <w:tc>
          <w:tcPr>
            <w:tcW w:type="dxa" w:w="2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9.83/ton</w:t>
            </w:r>
          </w:p>
        </w:tc>
      </w:tr>
      <w:tr>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bCs/>
                <w:color w:val="1A237E"/>
                <w:sz w:val="18"/>
                <w:szCs w:val="18"/>
              </w:rPr>
              <w:t xml:space="preserve">TOTAL</w:t>
            </w:r>
          </w:p>
        </w:tc>
        <w:tc>
          <w:tcPr>
            <w:tcW w:type="dxa" w:w="1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1A237E"/>
                <w:sz w:val="18"/>
                <w:szCs w:val="18"/>
              </w:rPr>
              <w:t xml:space="preserve">27,480,131</w:t>
            </w:r>
          </w:p>
        </w:tc>
        <w:tc>
          <w:tcPr>
            <w:tcW w:type="dxa" w:w="1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100.0%</w:t>
            </w:r>
          </w:p>
        </w:tc>
        <w:tc>
          <w:tcPr>
            <w:tcW w:type="dxa" w:w="1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2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314.67/ton</w:t>
            </w:r>
          </w:p>
        </w:tc>
      </w:tr>
    </w:tbl>
    <w:p>
      <w:pPr>
        <w:spacing w:before="200"/>
      </w:pPr>
      <w:r>
        <w:t xml:space="preserve">The cost structure reveals a heavily fixed-cost dominated profile. ALS charter hire at AED 21.6M represents nearly 4x the OFCO variable costs. This structural imbalance means that voyage density (monthly tonnage throughput) is the single most impactful lever for reducing the blended AED/ton rate.</w:t>
      </w:r>
    </w:p>
    <w:p>
      <w:pPr>
        <w:pStyle w:val="Heading1"/>
      </w:pPr>
      <w:r>
        <w:t xml:space="preserve">4. Monthly Integrated Cost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0"/>
        <w:gridCol w:w="900"/>
        <w:gridCol w:w="1100"/>
        <w:gridCol w:w="900"/>
        <w:gridCol w:w="1100"/>
        <w:gridCol w:w="1100"/>
        <w:gridCol w:w="1100"/>
        <w:gridCol w:w="1226"/>
      </w:tblGrid>
      <w:tr>
        <w:tc>
          <w:tcPr>
            <w:tcW w:type="dxa" w:w="10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Month</w:t>
            </w:r>
          </w:p>
        </w:tc>
        <w:tc>
          <w:tcPr>
            <w:tcW w:type="dxa" w:w="6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Voy</w:t>
            </w:r>
          </w:p>
        </w:tc>
        <w:tc>
          <w:tcPr>
            <w:tcW w:type="dxa" w:w="9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Ton</w:t>
            </w:r>
          </w:p>
        </w:tc>
        <w:tc>
          <w:tcPr>
            <w:tcW w:type="dxa" w:w="11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ALS</w:t>
            </w:r>
          </w:p>
        </w:tc>
        <w:tc>
          <w:tcPr>
            <w:tcW w:type="dxa" w:w="9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OFCO</w:t>
            </w:r>
          </w:p>
        </w:tc>
        <w:tc>
          <w:tcPr>
            <w:tcW w:type="dxa" w:w="11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GM</w:t>
            </w:r>
          </w:p>
        </w:tc>
        <w:tc>
          <w:tcPr>
            <w:tcW w:type="dxa" w:w="11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Total</w:t>
            </w:r>
          </w:p>
        </w:tc>
        <w:tc>
          <w:tcPr>
            <w:tcW w:type="dxa" w:w="11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AED/t</w:t>
            </w:r>
          </w:p>
        </w:tc>
        <w:tc>
          <w:tcPr>
            <w:tcW w:type="dxa" w:w="1226"/>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ALS%</w:t>
            </w:r>
          </w:p>
        </w:tc>
      </w:tr>
      <w:tr>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2024-07</w:t>
            </w:r>
          </w:p>
        </w:tc>
        <w:tc>
          <w:tcPr>
            <w:tcW w:type="dxa" w:w="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2,446</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821,178</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9,674</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19,594</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850,446</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347.7</w:t>
            </w:r>
          </w:p>
        </w:tc>
        <w:tc>
          <w:tcPr>
            <w:tcW w:type="dxa" w:w="1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97%</w:t>
            </w:r>
          </w:p>
        </w:tc>
      </w:tr>
      <w:tr>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2024-08</w:t>
            </w:r>
          </w:p>
        </w:tc>
        <w:tc>
          <w:tcPr>
            <w:tcW w:type="dxa" w:w="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6,066</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1,138,475</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322,965</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65,483</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1,526,923</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251.7</w:t>
            </w:r>
          </w:p>
        </w:tc>
        <w:tc>
          <w:tcPr>
            <w:tcW w:type="dxa" w:w="12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75%</w:t>
            </w:r>
          </w:p>
        </w:tc>
      </w:tr>
      <w:tr>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2024-09</w:t>
            </w:r>
          </w:p>
        </w:tc>
        <w:tc>
          <w:tcPr>
            <w:tcW w:type="dxa" w:w="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12,388</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1,118,174</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436,059</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62,876</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1,617,109</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130.5</w:t>
            </w:r>
          </w:p>
        </w:tc>
        <w:tc>
          <w:tcPr>
            <w:tcW w:type="dxa" w:w="1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69%</w:t>
            </w:r>
          </w:p>
        </w:tc>
      </w:tr>
      <w:tr>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2024-10</w:t>
            </w:r>
          </w:p>
        </w:tc>
        <w:tc>
          <w:tcPr>
            <w:tcW w:type="dxa" w:w="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4,095</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1,138,475</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320,802</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30,777</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1,490,054</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363.9</w:t>
            </w:r>
          </w:p>
        </w:tc>
        <w:tc>
          <w:tcPr>
            <w:tcW w:type="dxa" w:w="12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76%</w:t>
            </w:r>
          </w:p>
        </w:tc>
      </w:tr>
      <w:tr>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2024-11</w:t>
            </w:r>
          </w:p>
        </w:tc>
        <w:tc>
          <w:tcPr>
            <w:tcW w:type="dxa" w:w="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3,361</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1,101,750</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266,026</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30,611</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1,398,387</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F57F17"/>
                <w:sz w:val="18"/>
                <w:szCs w:val="18"/>
              </w:rPr>
              <w:t xml:space="preserve">416.1</w:t>
            </w:r>
          </w:p>
        </w:tc>
        <w:tc>
          <w:tcPr>
            <w:tcW w:type="dxa" w:w="1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79%</w:t>
            </w:r>
          </w:p>
        </w:tc>
      </w:tr>
      <w:tr>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2024-12</w:t>
            </w:r>
          </w:p>
        </w:tc>
        <w:tc>
          <w:tcPr>
            <w:tcW w:type="dxa" w:w="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10,532</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1,421,258</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265,199</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51,169</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1,737,625</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165.0</w:t>
            </w:r>
          </w:p>
        </w:tc>
        <w:tc>
          <w:tcPr>
            <w:tcW w:type="dxa" w:w="12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82%</w:t>
            </w:r>
          </w:p>
        </w:tc>
      </w:tr>
      <w:tr>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2025-01</w:t>
            </w:r>
          </w:p>
        </w:tc>
        <w:tc>
          <w:tcPr>
            <w:tcW w:type="dxa" w:w="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1,932</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1,308,585</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31,740</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12,487</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1,352,812</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C62828"/>
                <w:sz w:val="18"/>
                <w:szCs w:val="18"/>
              </w:rPr>
              <w:t xml:space="preserve">700.3</w:t>
            </w:r>
          </w:p>
        </w:tc>
        <w:tc>
          <w:tcPr>
            <w:tcW w:type="dxa" w:w="1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97%</w:t>
            </w:r>
          </w:p>
        </w:tc>
      </w:tr>
      <w:tr>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2025-02</w:t>
            </w:r>
          </w:p>
        </w:tc>
        <w:tc>
          <w:tcPr>
            <w:tcW w:type="dxa" w:w="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1,282</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1,233,960</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378,194</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1,612,154</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bCs/>
                <w:color w:val="C62828"/>
                <w:sz w:val="18"/>
                <w:szCs w:val="18"/>
              </w:rPr>
              <w:t xml:space="preserve">1257.5</w:t>
            </w:r>
          </w:p>
        </w:tc>
        <w:tc>
          <w:tcPr>
            <w:tcW w:type="dxa" w:w="12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77%</w:t>
            </w:r>
          </w:p>
        </w:tc>
      </w:tr>
      <w:tr>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2025-03</w:t>
            </w:r>
          </w:p>
        </w:tc>
        <w:tc>
          <w:tcPr>
            <w:tcW w:type="dxa" w:w="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2,308</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1,366,170</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199,848</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1,566,018</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C62828"/>
                <w:sz w:val="18"/>
                <w:szCs w:val="18"/>
              </w:rPr>
              <w:t xml:space="preserve">678.5</w:t>
            </w:r>
          </w:p>
        </w:tc>
        <w:tc>
          <w:tcPr>
            <w:tcW w:type="dxa" w:w="1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87%</w:t>
            </w:r>
          </w:p>
        </w:tc>
      </w:tr>
      <w:tr>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2025-04</w:t>
            </w:r>
          </w:p>
        </w:tc>
        <w:tc>
          <w:tcPr>
            <w:tcW w:type="dxa" w:w="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3,013</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1,322,100</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371,130</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17,911</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1,711,141</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bCs/>
                <w:color w:val="C62828"/>
                <w:sz w:val="18"/>
                <w:szCs w:val="18"/>
              </w:rPr>
              <w:t xml:space="preserve">567.9</w:t>
            </w:r>
          </w:p>
        </w:tc>
        <w:tc>
          <w:tcPr>
            <w:tcW w:type="dxa" w:w="12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77%</w:t>
            </w:r>
          </w:p>
        </w:tc>
      </w:tr>
      <w:tr>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2025-05</w:t>
            </w:r>
          </w:p>
        </w:tc>
        <w:tc>
          <w:tcPr>
            <w:tcW w:type="dxa" w:w="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2,931</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991,134</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269,638</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25,792</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1,286,564</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F57F17"/>
                <w:sz w:val="18"/>
                <w:szCs w:val="18"/>
              </w:rPr>
              <w:t xml:space="preserve">438.9</w:t>
            </w:r>
          </w:p>
        </w:tc>
        <w:tc>
          <w:tcPr>
            <w:tcW w:type="dxa" w:w="1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77%</w:t>
            </w:r>
          </w:p>
        </w:tc>
      </w:tr>
      <w:tr>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2025-07</w:t>
            </w:r>
          </w:p>
        </w:tc>
        <w:tc>
          <w:tcPr>
            <w:tcW w:type="dxa" w:w="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3,639</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776,513</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291,332</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30,741</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1,098,587</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301.9</w:t>
            </w:r>
          </w:p>
        </w:tc>
        <w:tc>
          <w:tcPr>
            <w:tcW w:type="dxa" w:w="12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71%</w:t>
            </w:r>
          </w:p>
        </w:tc>
      </w:tr>
      <w:tr>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2025-08</w:t>
            </w:r>
          </w:p>
        </w:tc>
        <w:tc>
          <w:tcPr>
            <w:tcW w:type="dxa" w:w="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2,390</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1,156,838</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560,781</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12,962</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1,730,580</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C62828"/>
                <w:sz w:val="18"/>
                <w:szCs w:val="18"/>
              </w:rPr>
              <w:t xml:space="preserve">724.0</w:t>
            </w:r>
          </w:p>
        </w:tc>
        <w:tc>
          <w:tcPr>
            <w:tcW w:type="dxa" w:w="1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67%</w:t>
            </w:r>
          </w:p>
        </w:tc>
      </w:tr>
      <w:tr>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2025-09</w:t>
            </w:r>
          </w:p>
        </w:tc>
        <w:tc>
          <w:tcPr>
            <w:tcW w:type="dxa" w:w="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6,095</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1,322,100</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559,534</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57,808</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1,939,442</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318.2</w:t>
            </w:r>
          </w:p>
        </w:tc>
        <w:tc>
          <w:tcPr>
            <w:tcW w:type="dxa" w:w="12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68%</w:t>
            </w:r>
          </w:p>
        </w:tc>
      </w:tr>
      <w:tr>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2025-10</w:t>
            </w:r>
          </w:p>
        </w:tc>
        <w:tc>
          <w:tcPr>
            <w:tcW w:type="dxa" w:w="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6,429</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1,366,170</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289,888</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57,160</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1,713,217</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266.5</w:t>
            </w:r>
          </w:p>
        </w:tc>
        <w:tc>
          <w:tcPr>
            <w:tcW w:type="dxa" w:w="1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80%</w:t>
            </w:r>
          </w:p>
        </w:tc>
      </w:tr>
      <w:tr>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2025-11</w:t>
            </w:r>
          </w:p>
        </w:tc>
        <w:tc>
          <w:tcPr>
            <w:tcW w:type="dxa" w:w="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5,360</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1,322,100</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191,763</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37,979</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1,551,842</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289.5</w:t>
            </w:r>
          </w:p>
        </w:tc>
        <w:tc>
          <w:tcPr>
            <w:tcW w:type="dxa" w:w="12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85%</w:t>
            </w:r>
          </w:p>
        </w:tc>
      </w:tr>
      <w:tr>
        <w:tc>
          <w:tcPr>
            <w:tcW w:type="dxa" w:w="1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2025-12</w:t>
            </w:r>
          </w:p>
        </w:tc>
        <w:tc>
          <w:tcPr>
            <w:tcW w:type="dxa" w:w="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5,813</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1,366,170</w:t>
            </w:r>
          </w:p>
        </w:tc>
        <w:tc>
          <w:tcPr>
            <w:tcW w:type="dxa" w:w="9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245,930</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26,235</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1,638,335</w:t>
            </w:r>
          </w:p>
        </w:tc>
        <w:tc>
          <w:tcPr>
            <w:tcW w:type="dxa" w:w="1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281.9</w:t>
            </w:r>
          </w:p>
        </w:tc>
        <w:tc>
          <w:tcPr>
            <w:tcW w:type="dxa" w:w="12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83%</w:t>
            </w:r>
          </w:p>
        </w:tc>
      </w:tr>
      <w:tr>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2026-01</w:t>
            </w:r>
          </w:p>
        </w:tc>
        <w:tc>
          <w:tcPr>
            <w:tcW w:type="dxa" w:w="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4,911</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1,366,170</w:t>
            </w:r>
          </w:p>
        </w:tc>
        <w:tc>
          <w:tcPr>
            <w:tcW w:type="dxa" w:w="9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233,322</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29,095</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1,628,586</w:t>
            </w:r>
          </w:p>
        </w:tc>
        <w:tc>
          <w:tcPr>
            <w:tcW w:type="dxa" w:w="11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bCs/>
                <w:color w:val="000000"/>
                <w:sz w:val="18"/>
                <w:szCs w:val="18"/>
              </w:rPr>
              <w:t xml:space="preserve">331.6</w:t>
            </w:r>
          </w:p>
        </w:tc>
        <w:tc>
          <w:tcPr>
            <w:tcW w:type="dxa" w:w="1226"/>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84%</w:t>
            </w:r>
          </w:p>
        </w:tc>
      </w:tr>
    </w:tbl>
    <w:p>
      <w:pPr>
        <w:spacing w:after="80" w:before="160"/>
      </w:pPr>
      <w:r>
        <w:rPr>
          <w:b/>
          <w:bCs/>
        </w:rPr>
        <w:t xml:space="preserve">Key Observations: </w:t>
      </w:r>
      <w:r>
        <w:t xml:space="preserve">The best-performing month was September 2024 at 130.5 AED/t (12,388 tons moved). The worst was February 2025 at 1,257.5 AED/t (only 1,282 tons). This 9.6x variation demonstrates the critical impact of voyage density on overall cost efficiency.</w:t>
      </w:r>
    </w:p>
    <w:p>
      <w:r>
        <w:br w:type="page"/>
      </w:r>
    </w:p>
    <w:p>
      <w:pPr>
        <w:pStyle w:val="Heading1"/>
      </w:pPr>
      <w:r>
        <w:t xml:space="preserve">5. Data Quality and Corrections</w:t>
      </w:r>
    </w:p>
    <w:p>
      <w:pPr>
        <w:pStyle w:val="Heading2"/>
      </w:pPr>
      <w:r>
        <w:t xml:space="preserve">5.1 ADNOC 225 Contamination (v5.2 Fix)</w:t>
      </w:r>
    </w:p>
    <w:p>
      <w:pPr>
        <w:spacing w:after="80"/>
      </w:pPr>
      <w:r>
        <w:t xml:space="preserve">31 decklog rows from vessel ADNOC 225 (a non-project vessel operating in Saudi Arabia) were identified contaminating the JOPETWIL71 operational data. ADNOC 225 showed average fuel consumption of 2,116 L/day (vs JOPETWIL71’s 299 L/day) and ROB starting at 862,100 liters (vs normal 8,622). These rows were tagged as EXCLUDED_NON_JPT71 in the DL_VESSEL_FLAG column with gray fill formatting. Impact: January 2026 fuel corrected from 65,754L to 154L (−99.8%).</w:t>
      </w:r>
    </w:p>
    <w:p>
      <w:pPr>
        <w:pStyle w:val="Heading2"/>
      </w:pPr>
      <w:r>
        <w:t xml:space="preserve">5.2 Voyage ID Corrections</w:t>
      </w:r>
    </w:p>
    <w:p>
      <w:pPr>
        <w:pStyle w:val="ListParagraph"/>
        <w:numPr>
          <w:ilvl w:val="0"/>
          <w:numId w:val="2"/>
        </w:numPr>
        <w:spacing w:after="60"/>
      </w:pPr>
      <w:r>
        <w:rPr>
          <w:b/>
          <w:bCs/>
        </w:rPr>
        <w:t xml:space="preserve">Naming convention break at entry #47: </w:t>
      </w:r>
      <w:r>
        <w:t xml:space="preserve">GRM-71 → GRM-J71 transition identified and mapped as aliases</w:t>
      </w:r>
    </w:p>
    <w:p>
      <w:pPr>
        <w:pStyle w:val="ListParagraph"/>
        <w:numPr>
          <w:ilvl w:val="0"/>
          <w:numId w:val="2"/>
        </w:numPr>
        <w:spacing w:after="60"/>
      </w:pPr>
      <w:r>
        <w:rPr>
          <w:b/>
          <w:bCs/>
        </w:rPr>
        <w:t xml:space="preserve">J71-007 alias: </w:t>
      </w:r>
      <w:r>
        <w:t xml:space="preserve">Resolved to correct voyage ID in cross-referencing</w:t>
      </w:r>
    </w:p>
    <w:p>
      <w:pPr>
        <w:pStyle w:val="ListParagraph"/>
        <w:numPr>
          <w:ilvl w:val="0"/>
          <w:numId w:val="2"/>
        </w:numPr>
        <w:spacing w:after="60"/>
      </w:pPr>
      <w:r>
        <w:rPr>
          <w:b/>
          <w:bCs/>
        </w:rPr>
        <w:t xml:space="preserve">AGU typo fix: </w:t>
      </w:r>
      <w:r>
        <w:t xml:space="preserve">Corrected misspelled voyage identifiers</w:t>
      </w:r>
    </w:p>
    <w:p>
      <w:pPr>
        <w:pStyle w:val="ListParagraph"/>
        <w:numPr>
          <w:ilvl w:val="0"/>
          <w:numId w:val="2"/>
        </w:numPr>
        <w:spacing w:after="60"/>
      </w:pPr>
      <w:r>
        <w:rPr>
          <w:b/>
          <w:bCs/>
        </w:rPr>
        <w:t xml:space="preserve">2026-12 date typo: </w:t>
      </w:r>
      <w:r>
        <w:t xml:space="preserve">December 2026 loading dates corrected to December 2025 in VOYAGE sheet</w:t>
      </w:r>
    </w:p>
    <w:p>
      <w:pPr>
        <w:pStyle w:val="ListParagraph"/>
        <w:numPr>
          <w:ilvl w:val="0"/>
          <w:numId w:val="2"/>
        </w:numPr>
        <w:spacing w:after="60"/>
      </w:pPr>
      <w:r>
        <w:rPr>
          <w:b/>
          <w:bCs/>
        </w:rPr>
        <w:t xml:space="preserve">BUSHRA exclusion: </w:t>
      </w:r>
      <w:r>
        <w:t xml:space="preserve">Non-JPT71 vessel BUSHRA invoices excluded from reconciliation</w:t>
      </w:r>
    </w:p>
    <w:p>
      <w:pPr>
        <w:pStyle w:val="Heading1"/>
      </w:pPr>
      <w:r>
        <w:t xml:space="preserve">6. ALS Fixed Cost Optimization Scenarios</w:t>
      </w:r>
    </w:p>
    <w:p>
      <w:pPr>
        <w:spacing w:after="120"/>
      </w:pPr>
      <w:r>
        <w:t xml:space="preserve">Three optimization approaches were modeled against the current baseline of 314.67 AED/ton:</w:t>
      </w:r>
    </w:p>
    <w:p>
      <w:pPr>
        <w:pStyle w:val="Heading2"/>
      </w:pPr>
      <w:r>
        <w:t xml:space="preserve">6.1 Scenario A: Increase Voyage Density</w:t>
      </w:r>
    </w:p>
    <w:p>
      <w:pPr>
        <w:spacing w:after="80"/>
      </w:pPr>
      <w:r>
        <w:t xml:space="preserve">By increasing monthly tonnage throughput while keeping ALS fixed at AED 1.14M/month, the fixed cost dilution effect reduces the blended rate. A +50% increase in monthly tonnage (4,596 → 6,895 t/mo) achieves 256.1 AED/t (−18.6%). This requires no additional investment, only operational scheduling optimization and cargo consolidation.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Density Increase</w:t>
            </w:r>
          </w:p>
        </w:tc>
        <w:tc>
          <w:tcPr>
            <w:tcW w:type="dxa" w:w="18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Monthly Ton</w:t>
            </w:r>
          </w:p>
        </w:tc>
        <w:tc>
          <w:tcPr>
            <w:tcW w:type="dxa" w:w="18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AED/t</w:t>
            </w:r>
          </w:p>
        </w:tc>
        <w:tc>
          <w:tcPr>
            <w:tcW w:type="dxa" w:w="18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Saving %</w:t>
            </w:r>
          </w:p>
        </w:tc>
        <w:tc>
          <w:tcPr>
            <w:tcW w:type="dxa" w:w="1826"/>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Investment</w:t>
            </w:r>
          </w:p>
        </w:tc>
      </w:tr>
      <w:tr>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Baseline (0%)</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4,596</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338.7</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w:t>
            </w:r>
          </w:p>
        </w:tc>
        <w:tc>
          <w:tcPr>
            <w:tcW w:type="dxa" w:w="18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w:t>
            </w:r>
          </w:p>
        </w:tc>
      </w:tr>
      <w:tr>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5,516</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2E7D32"/>
                <w:sz w:val="18"/>
                <w:szCs w:val="18"/>
              </w:rPr>
              <w:t xml:space="preserve">297.4</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-5.5%</w:t>
            </w:r>
          </w:p>
        </w:tc>
        <w:tc>
          <w:tcPr>
            <w:tcW w:type="dxa" w:w="18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 AED</w:t>
            </w:r>
          </w:p>
        </w:tc>
      </w:tr>
      <w:tr>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+50%</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6,895</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2E7D32"/>
                <w:sz w:val="18"/>
                <w:szCs w:val="18"/>
              </w:rPr>
              <w:t xml:space="preserve">256.1</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2E7D32"/>
                <w:sz w:val="18"/>
                <w:szCs w:val="18"/>
              </w:rPr>
              <w:t xml:space="preserve">-18.6%</w:t>
            </w:r>
          </w:p>
        </w:tc>
        <w:tc>
          <w:tcPr>
            <w:tcW w:type="dxa" w:w="18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 AED</w:t>
            </w:r>
          </w:p>
        </w:tc>
      </w:tr>
      <w:tr>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+100%</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9,193</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2E7D32"/>
                <w:sz w:val="18"/>
                <w:szCs w:val="18"/>
              </w:rPr>
              <w:t xml:space="preserve">214.8</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2E7D32"/>
                <w:sz w:val="18"/>
                <w:szCs w:val="18"/>
              </w:rPr>
              <w:t xml:space="preserve">-31.7%</w:t>
            </w:r>
          </w:p>
        </w:tc>
        <w:tc>
          <w:tcPr>
            <w:tcW w:type="dxa" w:w="18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 AED</w:t>
            </w:r>
          </w:p>
        </w:tc>
      </w:tr>
    </w:tbl>
    <w:p>
      <w:pPr>
        <w:pStyle w:val="Heading2"/>
        <w:spacing w:before="300"/>
      </w:pPr>
      <w:r>
        <w:t xml:space="preserve">6.2 Scenario B: Negotiate ALS Rate Reduction</w:t>
      </w:r>
    </w:p>
    <w:p>
      <w:pPr>
        <w:spacing w:after="80"/>
      </w:pPr>
      <w:r>
        <w:t xml:space="preserve">Negotiating the ALS monthly charter rate downward produces linear cost savings. A 10% reduction (-AED 113,881/month) breaks even against the current blended rate at 313.9 AED/t and saves AED 1.37M annually. A 20% reduction achieves 289.2 AED/t with AED 2.73M annual savings. Leverage points include long-term contract commitment and volume guarantees.</w:t>
      </w:r>
    </w:p>
    <w:p>
      <w:pPr>
        <w:pStyle w:val="Heading2"/>
      </w:pPr>
      <w:r>
        <w:t xml:space="preserve">6.3 Scenario C: Combined Optimization (Recommended)</w:t>
      </w:r>
    </w:p>
    <w:p>
      <w:pPr>
        <w:spacing w:after="80"/>
      </w:pPr>
      <w:r>
        <w:t xml:space="preserve">Combining density improvement with rate negotiation produces multiplicative benefits. The optimal scenario (Ton +50%, ALS -20%) achieves </w:t>
      </w:r>
      <w:r>
        <w:rPr>
          <w:b/>
          <w:bCs/>
          <w:color w:val="2E7D32"/>
        </w:rPr>
        <w:t xml:space="preserve">223.1 AED/t</w:t>
      </w:r>
      <w:r>
        <w:t xml:space="preserve"> — a </w:t>
      </w:r>
      <w:r>
        <w:rPr>
          <w:b/>
          <w:bCs/>
          <w:color w:val="2E7D32"/>
        </w:rPr>
        <w:t xml:space="preserve">29.1% reduction</w:t>
      </w:r>
      <w:r>
        <w:t xml:space="preserve"> from the modeled baseline, with annual ALS savings of AED 2.73M. This represents the Strategic (Long-term) target.</w:t>
      </w:r>
    </w:p>
    <w:p>
      <w:pPr>
        <w:pStyle w:val="Heading2"/>
      </w:pPr>
      <w:r>
        <w:t xml:space="preserve">6.4 Scenario Comparison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2026"/>
      </w:tblGrid>
      <w:tr>
        <w:tc>
          <w:tcPr>
            <w:tcW w:type="dxa" w:w="22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Scenario</w:t>
            </w:r>
          </w:p>
        </w:tc>
        <w:tc>
          <w:tcPr>
            <w:tcW w:type="dxa" w:w="12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AED/t</w:t>
            </w:r>
          </w:p>
        </w:tc>
        <w:tc>
          <w:tcPr>
            <w:tcW w:type="dxa" w:w="12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Saving</w:t>
            </w:r>
          </w:p>
        </w:tc>
        <w:tc>
          <w:tcPr>
            <w:tcW w:type="dxa" w:w="12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Annual Δ</w:t>
            </w:r>
          </w:p>
        </w:tc>
        <w:tc>
          <w:tcPr>
            <w:tcW w:type="dxa" w:w="12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Timeline</w:t>
            </w:r>
          </w:p>
        </w:tc>
        <w:tc>
          <w:tcPr>
            <w:tcW w:type="dxa" w:w="2026"/>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Grade</w:t>
            </w:r>
          </w:p>
        </w:tc>
      </w:tr>
      <w:tr>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 Ton +20%</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297.4</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-5.5%</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1-2 mo</w:t>
            </w:r>
          </w:p>
        </w:tc>
        <w:tc>
          <w:tcPr>
            <w:tcW w:type="dxa" w:w="2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B</w:t>
            </w:r>
          </w:p>
        </w:tc>
      </w:tr>
      <w:tr>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 Ton +50%</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2E7D32"/>
                <w:sz w:val="18"/>
                <w:szCs w:val="18"/>
              </w:rPr>
              <w:t xml:space="preserve">256.1</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2E7D32"/>
                <w:sz w:val="18"/>
                <w:szCs w:val="18"/>
              </w:rPr>
              <w:t xml:space="preserve">-18.6%</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0</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1-2 mo</w:t>
            </w:r>
          </w:p>
        </w:tc>
        <w:tc>
          <w:tcPr>
            <w:tcW w:type="dxa" w:w="2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A</w:t>
            </w:r>
          </w:p>
        </w:tc>
      </w:tr>
      <w:tr>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 ALS -10%</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313.9</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-7.9%</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1.37M</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2-4 wk</w:t>
            </w:r>
          </w:p>
        </w:tc>
        <w:tc>
          <w:tcPr>
            <w:tcW w:type="dxa" w:w="2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B</w:t>
            </w:r>
          </w:p>
        </w:tc>
      </w:tr>
      <w:tr>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 ALS -20%</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2E7D32"/>
                <w:sz w:val="18"/>
                <w:szCs w:val="18"/>
              </w:rPr>
              <w:t xml:space="preserve">289.2</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2E7D32"/>
                <w:sz w:val="18"/>
                <w:szCs w:val="18"/>
              </w:rPr>
              <w:t xml:space="preserve">-14.6%</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2.73M</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2-4 wk</w:t>
            </w:r>
          </w:p>
        </w:tc>
        <w:tc>
          <w:tcPr>
            <w:tcW w:type="dxa" w:w="2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A</w:t>
            </w:r>
          </w:p>
        </w:tc>
      </w:tr>
      <w:tr>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C: T+50%, R-20%</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2E7D32"/>
                <w:sz w:val="18"/>
                <w:szCs w:val="18"/>
              </w:rPr>
              <w:t xml:space="preserve">223.1</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2E7D32"/>
                <w:sz w:val="18"/>
                <w:szCs w:val="18"/>
              </w:rPr>
              <w:t xml:space="preserve">-29.1%</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2.73M</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1-3 mo</w:t>
            </w:r>
          </w:p>
        </w:tc>
        <w:tc>
          <w:tcPr>
            <w:tcW w:type="dxa" w:w="2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bCs/>
                <w:color w:val="1A237E"/>
                <w:sz w:val="18"/>
                <w:szCs w:val="18"/>
              </w:rPr>
              <w:t xml:space="preserve">S</w:t>
            </w:r>
          </w:p>
        </w:tc>
      </w:tr>
    </w:tbl>
    <w:p>
      <w:r>
        <w:br w:type="page"/>
      </w:r>
    </w:p>
    <w:p>
      <w:pPr>
        <w:pStyle w:val="Heading1"/>
      </w:pPr>
      <w:r>
        <w:t xml:space="preserve">7. Break-Even Analysis</w:t>
      </w:r>
    </w:p>
    <w:p>
      <w:pPr>
        <w:spacing w:after="120"/>
      </w:pPr>
      <w:r>
        <w:t xml:space="preserve">Given the fixed ALS rate of AED 1.14M/month and variable rates (OFCO 81.12 AED/t + GM 9.83 AED/t = 90.95 AED/t variable), the minimum monthly tonnage required to achieve target AED/t rates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600"/>
        <w:gridCol w:w="1626"/>
      </w:tblGrid>
      <w:tr>
        <w:tc>
          <w:tcPr>
            <w:tcW w:type="dxa" w:w="18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 AED/t</w:t>
            </w:r>
          </w:p>
        </w:tc>
        <w:tc>
          <w:tcPr>
            <w:tcW w:type="dxa" w:w="20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Min Monthly Ton</w:t>
            </w:r>
          </w:p>
        </w:tc>
        <w:tc>
          <w:tcPr>
            <w:tcW w:type="dxa" w:w="20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vs Current Avg</w:t>
            </w:r>
          </w:p>
        </w:tc>
        <w:tc>
          <w:tcPr>
            <w:tcW w:type="dxa" w:w="16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Reqd Voyages</w:t>
            </w:r>
          </w:p>
        </w:tc>
        <w:tc>
          <w:tcPr>
            <w:tcW w:type="dxa" w:w="1626"/>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Feasibility</w:t>
            </w:r>
          </w:p>
        </w:tc>
      </w:tr>
      <w:tr>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300</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5,448</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119%</w:t>
            </w:r>
          </w:p>
        </w:tc>
        <w:tc>
          <w:tcPr>
            <w:tcW w:type="dxa" w:w="1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c>
          <w:tcPr>
            <w:tcW w:type="dxa" w:w="16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F57F17"/>
                <w:sz w:val="18"/>
                <w:szCs w:val="18"/>
              </w:rPr>
              <w:t xml:space="preserve">Stretch</w:t>
            </w:r>
          </w:p>
        </w:tc>
      </w:tr>
      <w:tr>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350</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4,396</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96%</w:t>
            </w:r>
          </w:p>
        </w:tc>
        <w:tc>
          <w:tcPr>
            <w:tcW w:type="dxa" w:w="1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w:t>
            </w:r>
          </w:p>
        </w:tc>
        <w:tc>
          <w:tcPr>
            <w:tcW w:type="dxa" w:w="16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Realistic</w:t>
            </w:r>
          </w:p>
        </w:tc>
      </w:tr>
      <w:tr>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400</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3,685</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80%</w:t>
            </w:r>
          </w:p>
        </w:tc>
        <w:tc>
          <w:tcPr>
            <w:tcW w:type="dxa" w:w="1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w:t>
            </w:r>
          </w:p>
        </w:tc>
        <w:tc>
          <w:tcPr>
            <w:tcW w:type="dxa" w:w="16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On Track</w:t>
            </w:r>
          </w:p>
        </w:tc>
      </w:tr>
      <w:tr>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450</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bCs/>
                <w:color w:val="000000"/>
                <w:sz w:val="18"/>
                <w:szCs w:val="18"/>
              </w:rPr>
              <w:t xml:space="preserve">3,172</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right"/>
            </w:pPr>
            <w:r>
              <w:rPr>
                <w:rFonts w:ascii="Arial" w:cs="Arial" w:eastAsia="Arial" w:hAnsi="Arial"/>
                <w:b w:val="false"/>
                <w:bCs w:val="false"/>
                <w:color w:val="000000"/>
                <w:sz w:val="18"/>
                <w:szCs w:val="18"/>
              </w:rPr>
              <w:t xml:space="preserve">69%</w:t>
            </w:r>
          </w:p>
        </w:tc>
        <w:tc>
          <w:tcPr>
            <w:tcW w:type="dxa" w:w="16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16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Easy</w:t>
            </w:r>
          </w:p>
        </w:tc>
      </w:tr>
    </w:tbl>
    <w:p>
      <w:pPr>
        <w:pStyle w:val="Heading2"/>
        <w:spacing w:before="200"/>
      </w:pPr>
      <w:r>
        <w:t xml:space="preserve">Idle Month Cost Impact</w:t>
      </w:r>
    </w:p>
    <w:p>
      <w:pPr>
        <w:spacing w:after="80"/>
      </w:pPr>
      <w:r>
        <w:t xml:space="preserve">Each idle month (zero or near-zero tonnage) wastes approximately AED 1.14M in ALS charter costs, adding 13.0 AED/t to the project blended rate when spread across total tonnage. Three idle months would add AED 3.42M and 39.1 AED/t. The February 2025 experience (1,282t, 1,257.5 AED/t) demonstrates this risk in practice.</w:t>
      </w:r>
    </w:p>
    <w:p>
      <w:pPr>
        <w:pStyle w:val="Heading1"/>
      </w:pPr>
      <w:r>
        <w:t xml:space="preserve">8. Recommendations</w:t>
      </w:r>
    </w:p>
    <w:p>
      <w:pPr>
        <w:pStyle w:val="ListParagraph"/>
        <w:numPr>
          <w:ilvl w:val="0"/>
          <w:numId w:val="3"/>
        </w:numPr>
        <w:spacing w:after="80"/>
      </w:pPr>
      <w:r>
        <w:rPr>
          <w:b/>
          <w:bCs/>
          <w:color w:val="1565C0"/>
        </w:rPr>
        <w:t xml:space="preserve">Short-Term (Quick Win): </w:t>
      </w:r>
      <w:r>
        <w:t xml:space="preserve">Negotiate ALS charter rate reduction of 10–15%. Leverage: 19-month operational history demonstrating consistent utilization. Target: AED/t below 315 with annual savings of AED 1.37–2.05M.</w:t>
      </w:r>
    </w:p>
    <w:p>
      <w:pPr>
        <w:pStyle w:val="ListParagraph"/>
        <w:numPr>
          <w:ilvl w:val="0"/>
          <w:numId w:val="3"/>
        </w:numPr>
        <w:spacing w:after="80"/>
      </w:pPr>
      <w:r>
        <w:rPr>
          <w:b/>
          <w:bCs/>
          <w:color w:val="F57F17"/>
        </w:rPr>
        <w:t xml:space="preserve">Mid-Term (Operational): </w:t>
      </w:r>
      <w:r>
        <w:t xml:space="preserve">Optimize voyage scheduling to maintain minimum 5,500t/month throughput (+20% over current average). Focus on cargo consolidation, schedule alignment with loading windows, and minimizing idle periods. Target: AED/t below 300.</w:t>
      </w:r>
    </w:p>
    <w:p>
      <w:pPr>
        <w:pStyle w:val="ListParagraph"/>
        <w:numPr>
          <w:ilvl w:val="0"/>
          <w:numId w:val="3"/>
        </w:numPr>
        <w:spacing w:after="80"/>
      </w:pPr>
      <w:r>
        <w:rPr>
          <w:b/>
          <w:bCs/>
          <w:color w:val="2E7D32"/>
        </w:rPr>
        <w:t xml:space="preserve">Long-Term (Strategic): </w:t>
      </w:r>
      <w:r>
        <w:t xml:space="preserve">Combined Ton+50% density increase with ALS -20% rate negotiation. Target: 223 AED/t (−29% from modeled baseline). Requires both operational excellence and contractual restructuring.</w:t>
      </w:r>
    </w:p>
    <w:p>
      <w:pPr>
        <w:pStyle w:val="ListParagraph"/>
        <w:numPr>
          <w:ilvl w:val="0"/>
          <w:numId w:val="3"/>
        </w:numPr>
        <w:spacing w:after="80"/>
      </w:pPr>
      <w:r>
        <w:rPr>
          <w:b/>
          <w:bCs/>
          <w:color w:val="C62828"/>
        </w:rPr>
        <w:t xml:space="preserve">Critical Guard Rail: </w:t>
      </w:r>
      <w:r>
        <w:t xml:space="preserve">Prevent monthly tonnage from falling below 1,300t. Feb 2025 demonstrated that sub-1,300t months cause AED/t to exceed 1,250, destroying 4–5 months of cost efficiency gains. Establish minimum voyage density threshold as a project KPI.</w:t>
      </w:r>
    </w:p>
    <w:p>
      <w:r>
        <w:br w:type="page"/>
      </w:r>
    </w:p>
    <w:p>
      <w:pPr>
        <w:pStyle w:val="Heading1"/>
      </w:pPr>
      <w:r>
        <w:t xml:space="preserve">9. Report Deliverables</w:t>
      </w:r>
    </w:p>
    <w:p>
      <w:pPr>
        <w:spacing w:after="80"/>
      </w:pPr>
      <w:r>
        <w:t xml:space="preserve">The following files comprise the complete v5.3 analytical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026"/>
      </w:tblGrid>
      <w:tr>
        <w:tc>
          <w:tcPr>
            <w:tcW w:type="dxa" w:w="38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File</w:t>
            </w:r>
          </w:p>
        </w:tc>
        <w:tc>
          <w:tcPr>
            <w:tcW w:type="dxa" w:w="1200"/>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Size</w:t>
            </w:r>
          </w:p>
        </w:tc>
        <w:tc>
          <w:tcPr>
            <w:tcW w:type="dxa" w:w="4026"/>
            <w:tcBorders>
              <w:top w:val="single" w:color="BDBDBD" w:sz="1"/>
              <w:left w:val="single" w:color="BDBDBD" w:sz="1"/>
              <w:bottom w:val="single" w:color="BDBDBD" w:sz="1"/>
              <w:right w:val="single" w:color="BDBDBD"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r>
      <w:tr>
        <w:tc>
          <w:tcPr>
            <w:tcW w:type="dxa" w:w="3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bCs/>
                <w:color w:val="000000"/>
                <w:sz w:val="18"/>
                <w:szCs w:val="18"/>
              </w:rPr>
              <w:t xml:space="preserve">JPT-reconciled_v5.3.xlsx</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969 KB</w:t>
            </w:r>
          </w:p>
        </w:tc>
        <w:tc>
          <w:tcPr>
            <w:tcW w:type="dxa" w:w="4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Master workbook (12 sheets) with all allocations</w:t>
            </w:r>
          </w:p>
        </w:tc>
      </w:tr>
      <w:tr>
        <w:tc>
          <w:tcPr>
            <w:tcW w:type="dxa" w:w="3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JPT71_ALS_CostOptimization_v5.3.html</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23 KB</w:t>
            </w:r>
          </w:p>
        </w:tc>
        <w:tc>
          <w:tcPr>
            <w:tcW w:type="dxa" w:w="4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Interactive 6-tab scenario analysis dashboard</w:t>
            </w:r>
          </w:p>
        </w:tc>
      </w:tr>
      <w:tr>
        <w:tc>
          <w:tcPr>
            <w:tcW w:type="dxa" w:w="3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JPT71_Fuel_Loading_Dashboard_v5.2.html</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 KB</w:t>
            </w:r>
          </w:p>
        </w:tc>
        <w:tc>
          <w:tcPr>
            <w:tcW w:type="dxa" w:w="4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Fuel consumption dashboard (ADNOC 225 corrected)</w:t>
            </w:r>
          </w:p>
        </w:tc>
      </w:tr>
      <w:tr>
        <w:tc>
          <w:tcPr>
            <w:tcW w:type="dxa" w:w="3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JPT71_Fuel_RootCause_Analysis_v5.2.html</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 KB</w:t>
            </w:r>
          </w:p>
        </w:tc>
        <w:tc>
          <w:tcPr>
            <w:tcW w:type="dxa" w:w="4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Fuel anomaly root cause analysis</w:t>
            </w:r>
          </w:p>
        </w:tc>
      </w:tr>
      <w:tr>
        <w:tc>
          <w:tcPr>
            <w:tcW w:type="dxa" w:w="3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JPT71_HVDC_Report_v5.3.docx</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4026"/>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This report</w:t>
            </w:r>
          </w:p>
        </w:tc>
      </w:tr>
    </w:tbl>
    <w:p>
      <w:pPr>
        <w:pBdr>
          <w:top w:val="single" w:color="1A237E" w:sz="4" w:space="8"/>
        </w:pBdr>
        <w:spacing w:after="100" w:before="300"/>
      </w:pPr>
    </w:p>
    <w:p>
      <w:pPr>
        <w:spacing w:after="60"/>
        <w:jc w:val="center"/>
      </w:pPr>
      <w:r>
        <w:rPr>
          <w:rFonts w:ascii="Arial" w:cs="Arial" w:eastAsia="Arial" w:hAnsi="Arial"/>
          <w:b/>
          <w:bCs/>
          <w:color w:val="1A237E"/>
          <w:sz w:val="22"/>
          <w:szCs w:val="22"/>
        </w:rPr>
        <w:t xml:space="preserve">End of Report</w:t>
      </w:r>
    </w:p>
    <w:p>
      <w:pPr>
        <w:jc w:val="center"/>
      </w:pPr>
      <w:r>
        <w:rPr>
          <w:rFonts w:ascii="Arial" w:cs="Arial" w:eastAsia="Arial" w:hAnsi="Arial"/>
          <w:i/>
          <w:iCs/>
          <w:color w:val="616161"/>
          <w:sz w:val="18"/>
          <w:szCs w:val="18"/>
        </w:rPr>
        <w:t xml:space="preserve">JPT71 HVDC Project · Samsung C&amp;T / ADNOC · MACHO-GPT v5.3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2" w:space="4"/>
      </w:pBdr>
      <w:jc w:val="center"/>
    </w:pPr>
    <w:r>
      <w:rPr>
        <w:rFonts w:ascii="Arial" w:cs="Arial" w:eastAsia="Arial" w:hAnsi="Arial"/>
        <w:color w:val="616161"/>
        <w:sz w:val="16"/>
        <w:szCs w:val="16"/>
      </w:rPr>
      <w:t xml:space="preserve">Confidential — Page </w:t>
    </w:r>
    <w:r>
      <w:rPr>
        <w:rFonts w:ascii="Arial" w:cs="Arial" w:eastAsia="Arial" w:hAnsi="Arial"/>
        <w:color w:val="61616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4"/>
      </w:pBdr>
      <w:tabs>
        <w:tab w:val="right" w:pos="9026"/>
      </w:tabs>
    </w:pPr>
    <w:r>
      <w:rPr>
        <w:rFonts w:ascii="Arial" w:cs="Arial" w:eastAsia="Arial" w:hAnsi="Arial"/>
        <w:i/>
        <w:iCs/>
        <w:color w:val="616161"/>
        <w:sz w:val="16"/>
        <w:szCs w:val="16"/>
      </w:rPr>
      <w:t xml:space="preserve">JPT71 HVDC — Voyage Cost Report v5.3</w:t>
    </w:r>
    <w:r>
      <w:rPr>
        <w:rFonts w:ascii="Arial" w:cs="Arial" w:eastAsia="Arial" w:hAnsi="Arial"/>
        <w:i/>
        <w:iCs/>
        <w:color w:val="616161"/>
        <w:sz w:val="16"/>
        <w:szCs w:val="16"/>
      </w:rPr>
      <w:t xml:space="preserve">	Samsung C&amp;T / ADNOC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7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161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2026-03-10T08:24:35.999Z</dcterms:created>
  <dcterms:modified xsi:type="dcterms:W3CDTF">2026-03-10T08:24:36.000Z</dcterms:modified>
</cp:coreProperties>
</file>

<file path=docProps/custom.xml><?xml version="1.0" encoding="utf-8"?>
<Properties xmlns="http://schemas.openxmlformats.org/officeDocument/2006/custom-properties" xmlns:vt="http://schemas.openxmlformats.org/officeDocument/2006/docPropsVTypes"/>
</file>