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quoriaKicker"/>
      </w:pPr>
      <w:r>
        <w:t>EQUORIA  •  RECOVERED DESIGN BIBLE</w:t>
      </w:r>
    </w:p>
    <w:p>
      <w:pPr>
        <w:pStyle w:val="Title"/>
      </w:pPr>
      <w:r>
        <w:t>Equoria — Reconstructed Design Bible</w:t>
      </w:r>
    </w:p>
    <w:p>
      <w:pPr>
        <w:pBdr>
          <w:bottom w:val="single" w:sz="12" w:space="1" w:color="B99047"/>
        </w:pBdr>
      </w:pPr>
      <w:r>
        <w:rPr>
          <w:i/>
        </w:rPr>
        <w:t>23-volume section-by-section recovery of the original game plan and later intentional refinements.</w:t>
      </w:r>
    </w:p>
    <w:tbl>
      <w:tblPr>
        <w:tblW w:type="auto" w:w="0"/>
        <w:jc w:val="center"/>
        <w:tblLayout w:type="autofit"/>
        <w:tblLook w:firstColumn="1" w:firstRow="1" w:lastColumn="0" w:lastRow="0" w:noHBand="0" w:noVBand="1" w:val="04A0"/>
      </w:tblPr>
      <w:tblGrid>
        <w:gridCol w:w="9994"/>
      </w:tblGrid>
      <w:tr>
        <w:trPr>
          <w:cantSplit/>
        </w:trPr>
        <w:tc>
          <w:tcPr>
            <w:tcW w:type="dxa" w:w="9994"/>
            <w:shd w:fill="F3F0E8"/>
            <w:tcMar>
              <w:top w:w="130" w:type="dxa"/>
              <w:start w:w="150" w:type="dxa"/>
              <w:bottom w:w="130" w:type="dxa"/>
              <w:end w:w="150" w:type="dxa"/>
            </w:tcMar>
          </w:tcPr>
          <w:p>
            <w:r>
              <w:rPr>
                <w:b/>
                <w:color w:val="17233A"/>
                <w:sz w:val="21"/>
              </w:rPr>
              <w:t>Why this exists</w:t>
              <w:br/>
            </w:r>
            <w:r>
              <w:rPr>
                <w:color w:val="20252E"/>
                <w:sz w:val="19"/>
              </w:rPr>
              <w:t>The short feature inventory is an index. These volumes are the archival specifications intended to keep Equoria from drifting away from its original large-stable breeding, management, competition, lineage and legacy design as implementation evolves.</w:t>
            </w:r>
          </w:p>
        </w:tc>
      </w:tr>
    </w:tbl>
    <w:p/>
    <w:p>
      <w:pPr>
        <w:pStyle w:val="Heading1"/>
      </w:pPr>
      <w:r>
        <w:t>How to use the set</w:t>
      </w:r>
    </w:p>
    <w:p>
      <w:pPr>
        <w:pStyle w:val="ListBullet"/>
        <w:spacing w:after="60"/>
      </w:pPr>
      <w:r>
        <w:rPr>
          <w:b/>
        </w:rPr>
        <w:t xml:space="preserve">CURRENT / LOCKED — </w:t>
      </w:r>
      <w:r>
        <w:t>treat as governing intent unless explicitly revised.</w:t>
      </w:r>
    </w:p>
    <w:p>
      <w:pPr>
        <w:pStyle w:val="ListBullet"/>
        <w:spacing w:after="60"/>
      </w:pPr>
      <w:r>
        <w:rPr>
          <w:b/>
        </w:rPr>
        <w:t xml:space="preserve">PLANNED — </w:t>
      </w:r>
      <w:r>
        <w:t>preserve as intended scope; finish unresolved design before implementation.</w:t>
      </w:r>
    </w:p>
    <w:p>
      <w:pPr>
        <w:pStyle w:val="ListBullet"/>
        <w:spacing w:after="60"/>
      </w:pPr>
      <w:r>
        <w:rPr>
          <w:b/>
        </w:rPr>
        <w:t xml:space="preserve">EXPLORATORY — </w:t>
      </w:r>
      <w:r>
        <w:t>keep as ideas, not requirements.</w:t>
      </w:r>
    </w:p>
    <w:p>
      <w:pPr>
        <w:pStyle w:val="ListBullet"/>
        <w:spacing w:after="60"/>
      </w:pPr>
      <w:r>
        <w:rPr>
          <w:b/>
        </w:rPr>
        <w:t xml:space="preserve">SUPERSEDED — </w:t>
      </w:r>
      <w:r>
        <w:t>historical only; do not revive accidentally.</w:t>
      </w:r>
    </w:p>
    <w:p>
      <w:pPr>
        <w:pStyle w:val="ListBullet"/>
        <w:spacing w:after="60"/>
      </w:pPr>
      <w:r>
        <w:rPr>
          <w:b/>
        </w:rPr>
        <w:t xml:space="preserve">OPEN — </w:t>
      </w:r>
      <w:r>
        <w:t>requires an explicit decision record before code or UI hardens it.</w:t>
      </w:r>
    </w:p>
    <w:p>
      <w:pPr>
        <w:pStyle w:val="Heading1"/>
      </w:pPr>
      <w:r>
        <w:t>Volumes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792"/>
            <w:shd w:fill="17233A"/>
            <w:tcMar>
              <w:top w:w="80" w:type="dxa"/>
              <w:start w:w="90" w:type="dxa"/>
              <w:bottom w:w="80" w:type="dxa"/>
              <w:end w:w="90" w:type="dxa"/>
            </w:tcMar>
          </w:tcPr>
          <w:p>
            <w:r>
              <w:rPr>
                <w:b/>
                <w:color w:val="FFFFFF"/>
                <w:sz w:val="17"/>
              </w:rPr>
              <w:t>Vol.</w:t>
            </w:r>
          </w:p>
        </w:tc>
        <w:tc>
          <w:tcPr>
            <w:tcW w:type="dxa" w:w="3456"/>
            <w:shd w:fill="17233A"/>
            <w:tcMar>
              <w:top w:w="80" w:type="dxa"/>
              <w:start w:w="90" w:type="dxa"/>
              <w:bottom w:w="80" w:type="dxa"/>
              <w:end w:w="90" w:type="dxa"/>
            </w:tcMar>
          </w:tcPr>
          <w:p>
            <w:r>
              <w:rPr>
                <w:b/>
                <w:color w:val="FFFFFF"/>
                <w:sz w:val="17"/>
              </w:rPr>
              <w:t>Section</w:t>
            </w:r>
          </w:p>
        </w:tc>
        <w:tc>
          <w:tcPr>
            <w:tcW w:type="dxa" w:w="5904"/>
            <w:shd w:fill="17233A"/>
            <w:tcMar>
              <w:top w:w="80" w:type="dxa"/>
              <w:start w:w="90" w:type="dxa"/>
              <w:bottom w:w="80" w:type="dxa"/>
              <w:end w:w="90" w:type="dxa"/>
            </w:tcMar>
          </w:tcPr>
          <w:p>
            <w:r>
              <w:rPr>
                <w:b/>
                <w:color w:val="FFFFFF"/>
                <w:sz w:val="17"/>
              </w:rPr>
              <w:t>Scope</w:t>
            </w:r>
          </w:p>
        </w:tc>
      </w:tr>
      <w:tr>
        <w:trPr>
          <w:cantSplit/>
        </w:trPr>
        <w:tc>
          <w:tcPr>
            <w:tcW w:type="dxa" w:w="792"/>
            <w:tcMar>
              <w:top w:w="70" w:type="dxa"/>
              <w:start w:w="90" w:type="dxa"/>
              <w:bottom w:w="70" w:type="dxa"/>
              <w:end w:w="90" w:type="dxa"/>
            </w:tcMar>
          </w:tcPr>
          <w:p>
            <w:r>
              <w:rPr>
                <w:color w:val="20252E"/>
                <w:sz w:val="17"/>
              </w:rPr>
              <w:t>01</w:t>
            </w:r>
          </w:p>
        </w:tc>
        <w:tc>
          <w:tcPr>
            <w:tcW w:type="dxa" w:w="3456"/>
            <w:tcMar>
              <w:top w:w="70" w:type="dxa"/>
              <w:start w:w="90" w:type="dxa"/>
              <w:bottom w:w="70" w:type="dxa"/>
              <w:end w:w="90" w:type="dxa"/>
            </w:tcMar>
          </w:tcPr>
          <w:p>
            <w:r>
              <w:rPr>
                <w:color w:val="20252E"/>
                <w:sz w:val="17"/>
              </w:rPr>
              <w:t>Vision, Audience &amp; Core Loop</w:t>
            </w:r>
          </w:p>
        </w:tc>
        <w:tc>
          <w:tcPr>
            <w:tcW w:type="dxa" w:w="5904"/>
            <w:tcMar>
              <w:top w:w="70" w:type="dxa"/>
              <w:start w:w="90" w:type="dxa"/>
              <w:bottom w:w="70" w:type="dxa"/>
              <w:end w:w="90" w:type="dxa"/>
            </w:tcMar>
          </w:tcPr>
          <w:p>
            <w:r>
              <w:rPr>
                <w:color w:val="20252E"/>
                <w:sz w:val="17"/>
              </w:rPr>
              <w:t>What Equoria is, who it serves, the large-stable loop and product boundaries.</w:t>
            </w:r>
          </w:p>
        </w:tc>
      </w:tr>
      <w:tr>
        <w:trPr>
          <w:cantSplit/>
        </w:trPr>
        <w:tc>
          <w:tcPr>
            <w:tcW w:type="dxa" w:w="792"/>
            <w:shd w:fill="F7F8FA"/>
            <w:tcMar>
              <w:top w:w="70" w:type="dxa"/>
              <w:start w:w="90" w:type="dxa"/>
              <w:bottom w:w="70" w:type="dxa"/>
              <w:end w:w="90" w:type="dxa"/>
            </w:tcMar>
          </w:tcPr>
          <w:p>
            <w:r>
              <w:rPr>
                <w:color w:val="20252E"/>
                <w:sz w:val="17"/>
              </w:rPr>
              <w:t>02</w:t>
            </w:r>
          </w:p>
        </w:tc>
        <w:tc>
          <w:tcPr>
            <w:tcW w:type="dxa" w:w="3456"/>
            <w:shd w:fill="F7F8FA"/>
            <w:tcMar>
              <w:top w:w="70" w:type="dxa"/>
              <w:start w:w="90" w:type="dxa"/>
              <w:bottom w:w="70" w:type="dxa"/>
              <w:end w:w="90" w:type="dxa"/>
            </w:tcMar>
          </w:tcPr>
          <w:p>
            <w:r>
              <w:rPr>
                <w:color w:val="20252E"/>
                <w:sz w:val="17"/>
              </w:rPr>
              <w:t>Platform &amp; Technical Architecture</w:t>
            </w:r>
          </w:p>
        </w:tc>
        <w:tc>
          <w:tcPr>
            <w:tcW w:type="dxa" w:w="5904"/>
            <w:shd w:fill="F7F8FA"/>
            <w:tcMar>
              <w:top w:w="70" w:type="dxa"/>
              <w:start w:w="90" w:type="dxa"/>
              <w:bottom w:w="70" w:type="dxa"/>
              <w:end w:w="90" w:type="dxa"/>
            </w:tcMar>
          </w:tcPr>
          <w:p>
            <w:r>
              <w:rPr>
                <w:color w:val="20252E"/>
                <w:sz w:val="17"/>
              </w:rPr>
              <w:t>Browser architecture, server/database, schemas/APIs, testing/security and mobile-history transition.</w:t>
            </w:r>
          </w:p>
        </w:tc>
      </w:tr>
      <w:tr>
        <w:trPr>
          <w:cantSplit/>
        </w:trPr>
        <w:tc>
          <w:tcPr>
            <w:tcW w:type="dxa" w:w="792"/>
            <w:tcMar>
              <w:top w:w="70" w:type="dxa"/>
              <w:start w:w="90" w:type="dxa"/>
              <w:bottom w:w="70" w:type="dxa"/>
              <w:end w:w="90" w:type="dxa"/>
            </w:tcMar>
          </w:tcPr>
          <w:p>
            <w:r>
              <w:rPr>
                <w:color w:val="20252E"/>
                <w:sz w:val="17"/>
              </w:rPr>
              <w:t>03</w:t>
            </w:r>
          </w:p>
        </w:tc>
        <w:tc>
          <w:tcPr>
            <w:tcW w:type="dxa" w:w="3456"/>
            <w:tcMar>
              <w:top w:w="70" w:type="dxa"/>
              <w:start w:w="90" w:type="dxa"/>
              <w:bottom w:w="70" w:type="dxa"/>
              <w:end w:w="90" w:type="dxa"/>
            </w:tcMar>
          </w:tcPr>
          <w:p>
            <w:r>
              <w:rPr>
                <w:color w:val="20252E"/>
                <w:sz w:val="17"/>
              </w:rPr>
              <w:t>Accounts, Onboarding &amp; Player Identity</w:t>
            </w:r>
          </w:p>
        </w:tc>
        <w:tc>
          <w:tcPr>
            <w:tcW w:type="dxa" w:w="5904"/>
            <w:tcMar>
              <w:top w:w="70" w:type="dxa"/>
              <w:start w:w="90" w:type="dxa"/>
              <w:bottom w:w="70" w:type="dxa"/>
              <w:end w:w="90" w:type="dxa"/>
            </w:tcMar>
          </w:tcPr>
          <w:p>
            <w:r>
              <w:rPr>
                <w:color w:val="20252E"/>
                <w:sz w:val="17"/>
              </w:rPr>
              <w:t>Account rules, login/onboarding, profile/settings and player XP/levels.</w:t>
            </w:r>
          </w:p>
        </w:tc>
      </w:tr>
      <w:tr>
        <w:trPr>
          <w:cantSplit/>
        </w:trPr>
        <w:tc>
          <w:tcPr>
            <w:tcW w:type="dxa" w:w="792"/>
            <w:shd w:fill="F7F8FA"/>
            <w:tcMar>
              <w:top w:w="70" w:type="dxa"/>
              <w:start w:w="90" w:type="dxa"/>
              <w:bottom w:w="70" w:type="dxa"/>
              <w:end w:w="90" w:type="dxa"/>
            </w:tcMar>
          </w:tcPr>
          <w:p>
            <w:r>
              <w:rPr>
                <w:color w:val="20252E"/>
                <w:sz w:val="17"/>
              </w:rPr>
              <w:t>04</w:t>
            </w:r>
          </w:p>
        </w:tc>
        <w:tc>
          <w:tcPr>
            <w:tcW w:type="dxa" w:w="3456"/>
            <w:shd w:fill="F7F8FA"/>
            <w:tcMar>
              <w:top w:w="70" w:type="dxa"/>
              <w:start w:w="90" w:type="dxa"/>
              <w:bottom w:w="70" w:type="dxa"/>
              <w:end w:w="90" w:type="dxa"/>
            </w:tcMar>
          </w:tcPr>
          <w:p>
            <w:r>
              <w:rPr>
                <w:color w:val="20252E"/>
                <w:sz w:val="17"/>
              </w:rPr>
              <w:t>Navigation &amp; World Structure</w:t>
            </w:r>
          </w:p>
        </w:tc>
        <w:tc>
          <w:tcPr>
            <w:tcW w:type="dxa" w:w="5904"/>
            <w:shd w:fill="F7F8FA"/>
            <w:tcMar>
              <w:top w:w="70" w:type="dxa"/>
              <w:start w:w="90" w:type="dxa"/>
              <w:bottom w:w="70" w:type="dxa"/>
              <w:end w:w="90" w:type="dxa"/>
            </w:tcMar>
          </w:tcPr>
          <w:p>
            <w:r>
              <w:rPr>
                <w:color w:val="20252E"/>
                <w:sz w:val="17"/>
              </w:rPr>
              <w:t>Current five realms, top HUD, World submenu and historical navigation mapping.</w:t>
            </w:r>
          </w:p>
        </w:tc>
      </w:tr>
      <w:tr>
        <w:trPr>
          <w:cantSplit/>
        </w:trPr>
        <w:tc>
          <w:tcPr>
            <w:tcW w:type="dxa" w:w="792"/>
            <w:tcMar>
              <w:top w:w="70" w:type="dxa"/>
              <w:start w:w="90" w:type="dxa"/>
              <w:bottom w:w="70" w:type="dxa"/>
              <w:end w:w="90" w:type="dxa"/>
            </w:tcMar>
          </w:tcPr>
          <w:p>
            <w:r>
              <w:rPr>
                <w:color w:val="20252E"/>
                <w:sz w:val="17"/>
              </w:rPr>
              <w:t>05</w:t>
            </w:r>
          </w:p>
        </w:tc>
        <w:tc>
          <w:tcPr>
            <w:tcW w:type="dxa" w:w="3456"/>
            <w:tcMar>
              <w:top w:w="70" w:type="dxa"/>
              <w:start w:w="90" w:type="dxa"/>
              <w:bottom w:w="70" w:type="dxa"/>
              <w:end w:w="90" w:type="dxa"/>
            </w:tcMar>
          </w:tcPr>
          <w:p>
            <w:r>
              <w:rPr>
                <w:color w:val="20252E"/>
                <w:sz w:val="17"/>
              </w:rPr>
              <w:t>Stable Home, Collection &amp; Roster Management</w:t>
            </w:r>
          </w:p>
        </w:tc>
        <w:tc>
          <w:tcPr>
            <w:tcW w:type="dxa" w:w="5904"/>
            <w:tcMar>
              <w:top w:w="70" w:type="dxa"/>
              <w:start w:w="90" w:type="dxa"/>
              <w:bottom w:w="70" w:type="dxa"/>
              <w:end w:w="90" w:type="dxa"/>
            </w:tcMar>
          </w:tcPr>
          <w:p>
            <w:r>
              <w:rPr>
                <w:color w:val="20252E"/>
                <w:sz w:val="17"/>
              </w:rPr>
              <w:t>Stable as place plus Portrait Stable/Ledger, cards, filters, groups and mass management.</w:t>
            </w:r>
          </w:p>
        </w:tc>
      </w:tr>
      <w:tr>
        <w:trPr>
          <w:cantSplit/>
        </w:trPr>
        <w:tc>
          <w:tcPr>
            <w:tcW w:type="dxa" w:w="792"/>
            <w:shd w:fill="F7F8FA"/>
            <w:tcMar>
              <w:top w:w="70" w:type="dxa"/>
              <w:start w:w="90" w:type="dxa"/>
              <w:bottom w:w="70" w:type="dxa"/>
              <w:end w:w="90" w:type="dxa"/>
            </w:tcMar>
          </w:tcPr>
          <w:p>
            <w:r>
              <w:rPr>
                <w:color w:val="20252E"/>
                <w:sz w:val="17"/>
              </w:rPr>
              <w:t>06</w:t>
            </w:r>
          </w:p>
        </w:tc>
        <w:tc>
          <w:tcPr>
            <w:tcW w:type="dxa" w:w="3456"/>
            <w:shd w:fill="F7F8FA"/>
            <w:tcMar>
              <w:top w:w="70" w:type="dxa"/>
              <w:start w:w="90" w:type="dxa"/>
              <w:bottom w:w="70" w:type="dxa"/>
              <w:end w:w="90" w:type="dxa"/>
            </w:tcMar>
          </w:tcPr>
          <w:p>
            <w:r>
              <w:rPr>
                <w:color w:val="20252E"/>
                <w:sz w:val="17"/>
              </w:rPr>
              <w:t>Horse Profile &amp; Core Horse Data</w:t>
            </w:r>
          </w:p>
        </w:tc>
        <w:tc>
          <w:tcPr>
            <w:tcW w:type="dxa" w:w="5904"/>
            <w:shd w:fill="F7F8FA"/>
            <w:tcMar>
              <w:top w:w="70" w:type="dxa"/>
              <w:start w:w="90" w:type="dxa"/>
              <w:bottom w:w="70" w:type="dxa"/>
              <w:end w:w="90" w:type="dxa"/>
            </w:tcMar>
          </w:tcPr>
          <w:p>
            <w:r>
              <w:rPr>
                <w:color w:val="20252E"/>
                <w:sz w:val="17"/>
              </w:rPr>
              <w:t>Authoritative horse identity, genetics, stats, conformation, gaits, history, breeding and retirement.</w:t>
            </w:r>
          </w:p>
        </w:tc>
      </w:tr>
      <w:tr>
        <w:trPr>
          <w:cantSplit/>
        </w:trPr>
        <w:tc>
          <w:tcPr>
            <w:tcW w:type="dxa" w:w="792"/>
            <w:tcMar>
              <w:top w:w="70" w:type="dxa"/>
              <w:start w:w="90" w:type="dxa"/>
              <w:bottom w:w="70" w:type="dxa"/>
              <w:end w:w="90" w:type="dxa"/>
            </w:tcMar>
          </w:tcPr>
          <w:p>
            <w:r>
              <w:rPr>
                <w:color w:val="20252E"/>
                <w:sz w:val="17"/>
              </w:rPr>
              <w:t>07</w:t>
            </w:r>
          </w:p>
        </w:tc>
        <w:tc>
          <w:tcPr>
            <w:tcW w:type="dxa" w:w="3456"/>
            <w:tcMar>
              <w:top w:w="70" w:type="dxa"/>
              <w:start w:w="90" w:type="dxa"/>
              <w:bottom w:w="70" w:type="dxa"/>
              <w:end w:w="90" w:type="dxa"/>
            </w:tcMar>
          </w:tcPr>
          <w:p>
            <w:r>
              <w:rPr>
                <w:color w:val="20252E"/>
                <w:sz w:val="17"/>
              </w:rPr>
              <w:t>Genetics, Color &amp; Phenotype</w:t>
            </w:r>
          </w:p>
        </w:tc>
        <w:tc>
          <w:tcPr>
            <w:tcW w:type="dxa" w:w="5904"/>
            <w:tcMar>
              <w:top w:w="70" w:type="dxa"/>
              <w:start w:w="90" w:type="dxa"/>
              <w:bottom w:w="70" w:type="dxa"/>
              <w:end w:w="90" w:type="dxa"/>
            </w:tcMar>
          </w:tcPr>
          <w:p>
            <w:r>
              <w:rPr>
                <w:color w:val="20252E"/>
                <w:sz w:val="17"/>
              </w:rPr>
              <w:t>Mendelian genetics, breed profiles, allele systems, lethal prevention and appearance truth.</w:t>
            </w:r>
          </w:p>
        </w:tc>
      </w:tr>
      <w:tr>
        <w:trPr>
          <w:cantSplit/>
        </w:trPr>
        <w:tc>
          <w:tcPr>
            <w:tcW w:type="dxa" w:w="792"/>
            <w:shd w:fill="F7F8FA"/>
            <w:tcMar>
              <w:top w:w="70" w:type="dxa"/>
              <w:start w:w="90" w:type="dxa"/>
              <w:bottom w:w="70" w:type="dxa"/>
              <w:end w:w="90" w:type="dxa"/>
            </w:tcMar>
          </w:tcPr>
          <w:p>
            <w:r>
              <w:rPr>
                <w:color w:val="20252E"/>
                <w:sz w:val="17"/>
              </w:rPr>
              <w:t>08</w:t>
            </w:r>
          </w:p>
        </w:tc>
        <w:tc>
          <w:tcPr>
            <w:tcW w:type="dxa" w:w="3456"/>
            <w:shd w:fill="F7F8FA"/>
            <w:tcMar>
              <w:top w:w="70" w:type="dxa"/>
              <w:start w:w="90" w:type="dxa"/>
              <w:bottom w:w="70" w:type="dxa"/>
              <w:end w:w="90" w:type="dxa"/>
            </w:tcMar>
          </w:tcPr>
          <w:p>
            <w:r>
              <w:rPr>
                <w:color w:val="20252E"/>
                <w:sz w:val="17"/>
              </w:rPr>
              <w:t>Breeding, Pregnancy &amp; Foal Reveal</w:t>
            </w:r>
          </w:p>
        </w:tc>
        <w:tc>
          <w:tcPr>
            <w:tcW w:type="dxa" w:w="5904"/>
            <w:shd w:fill="F7F8FA"/>
            <w:tcMar>
              <w:top w:w="70" w:type="dxa"/>
              <w:start w:w="90" w:type="dxa"/>
              <w:bottom w:w="70" w:type="dxa"/>
              <w:end w:w="90" w:type="dxa"/>
            </w:tcMar>
          </w:tcPr>
          <w:p>
            <w:r>
              <w:rPr>
                <w:color w:val="20252E"/>
                <w:sz w:val="17"/>
              </w:rPr>
              <w:t>Four-step breeding, pregnancy, prenatal/lineage effects, inbreeding and foal reveal.</w:t>
            </w:r>
          </w:p>
        </w:tc>
      </w:tr>
      <w:tr>
        <w:trPr>
          <w:cantSplit/>
        </w:trPr>
        <w:tc>
          <w:tcPr>
            <w:tcW w:type="dxa" w:w="792"/>
            <w:tcMar>
              <w:top w:w="70" w:type="dxa"/>
              <w:start w:w="90" w:type="dxa"/>
              <w:bottom w:w="70" w:type="dxa"/>
              <w:end w:w="90" w:type="dxa"/>
            </w:tcMar>
          </w:tcPr>
          <w:p>
            <w:r>
              <w:rPr>
                <w:color w:val="20252E"/>
                <w:sz w:val="17"/>
              </w:rPr>
              <w:t>09</w:t>
            </w:r>
          </w:p>
        </w:tc>
        <w:tc>
          <w:tcPr>
            <w:tcW w:type="dxa" w:w="3456"/>
            <w:tcMar>
              <w:top w:w="70" w:type="dxa"/>
              <w:start w:w="90" w:type="dxa"/>
              <w:bottom w:w="70" w:type="dxa"/>
              <w:end w:w="90" w:type="dxa"/>
            </w:tcMar>
          </w:tcPr>
          <w:p>
            <w:r>
              <w:rPr>
                <w:color w:val="20252E"/>
                <w:sz w:val="17"/>
              </w:rPr>
              <w:t>Foal Development, Epigenetics, Bond &amp; Temperament</w:t>
            </w:r>
          </w:p>
        </w:tc>
        <w:tc>
          <w:tcPr>
            <w:tcW w:type="dxa" w:w="5904"/>
            <w:tcMar>
              <w:top w:w="70" w:type="dxa"/>
              <w:start w:w="90" w:type="dxa"/>
              <w:bottom w:w="70" w:type="dxa"/>
              <w:end w:w="90" w:type="dxa"/>
            </w:tcMar>
          </w:tcPr>
          <w:p>
            <w:r>
              <w:rPr>
                <w:color w:val="20252E"/>
                <w:sz w:val="17"/>
              </w:rPr>
              <w:t>Six-day newborn window, bond/stress, handling, milestones and developmental flags.</w:t>
            </w:r>
          </w:p>
        </w:tc>
      </w:tr>
      <w:tr>
        <w:trPr>
          <w:cantSplit/>
        </w:trPr>
        <w:tc>
          <w:tcPr>
            <w:tcW w:type="dxa" w:w="792"/>
            <w:shd w:fill="F7F8FA"/>
            <w:tcMar>
              <w:top w:w="70" w:type="dxa"/>
              <w:start w:w="90" w:type="dxa"/>
              <w:bottom w:w="70" w:type="dxa"/>
              <w:end w:w="90" w:type="dxa"/>
            </w:tcMar>
          </w:tcPr>
          <w:p>
            <w:r>
              <w:rPr>
                <w:color w:val="20252E"/>
                <w:sz w:val="17"/>
              </w:rPr>
              <w:t>10</w:t>
            </w:r>
          </w:p>
        </w:tc>
        <w:tc>
          <w:tcPr>
            <w:tcW w:type="dxa" w:w="3456"/>
            <w:shd w:fill="F7F8FA"/>
            <w:tcMar>
              <w:top w:w="70" w:type="dxa"/>
              <w:start w:w="90" w:type="dxa"/>
              <w:bottom w:w="70" w:type="dxa"/>
              <w:end w:w="90" w:type="dxa"/>
            </w:tcMar>
          </w:tcPr>
          <w:p>
            <w:r>
              <w:rPr>
                <w:color w:val="20252E"/>
                <w:sz w:val="17"/>
              </w:rPr>
              <w:t>Care, Grooming, Health, Vetting &amp; Burnout</w:t>
            </w:r>
          </w:p>
        </w:tc>
        <w:tc>
          <w:tcPr>
            <w:tcW w:type="dxa" w:w="5904"/>
            <w:shd w:fill="F7F8FA"/>
            <w:tcMar>
              <w:top w:w="70" w:type="dxa"/>
              <w:start w:w="90" w:type="dxa"/>
              <w:bottom w:w="70" w:type="dxa"/>
              <w:end w:w="90" w:type="dxa"/>
            </w:tcMar>
          </w:tcPr>
          <w:p>
            <w:r>
              <w:rPr>
                <w:color w:val="20252E"/>
                <w:sz w:val="17"/>
              </w:rPr>
              <w:t>Daily care, vetting, competition injuries, burnout, grooming and health conflicts.</w:t>
            </w:r>
          </w:p>
        </w:tc>
      </w:tr>
      <w:tr>
        <w:trPr>
          <w:cantSplit/>
        </w:trPr>
        <w:tc>
          <w:tcPr>
            <w:tcW w:type="dxa" w:w="792"/>
            <w:tcMar>
              <w:top w:w="70" w:type="dxa"/>
              <w:start w:w="90" w:type="dxa"/>
              <w:bottom w:w="70" w:type="dxa"/>
              <w:end w:w="90" w:type="dxa"/>
            </w:tcMar>
          </w:tcPr>
          <w:p>
            <w:r>
              <w:rPr>
                <w:color w:val="20252E"/>
                <w:sz w:val="17"/>
              </w:rPr>
              <w:t>11</w:t>
            </w:r>
          </w:p>
        </w:tc>
        <w:tc>
          <w:tcPr>
            <w:tcW w:type="dxa" w:w="3456"/>
            <w:tcMar>
              <w:top w:w="70" w:type="dxa"/>
              <w:start w:w="90" w:type="dxa"/>
              <w:bottom w:w="70" w:type="dxa"/>
              <w:end w:w="90" w:type="dxa"/>
            </w:tcMar>
          </w:tcPr>
          <w:p>
            <w:r>
              <w:rPr>
                <w:color w:val="20252E"/>
                <w:sz w:val="17"/>
              </w:rPr>
              <w:t>Training &amp; Development</w:t>
            </w:r>
          </w:p>
        </w:tc>
        <w:tc>
          <w:tcPr>
            <w:tcW w:type="dxa" w:w="5904"/>
            <w:tcMar>
              <w:top w:w="70" w:type="dxa"/>
              <w:start w:w="90" w:type="dxa"/>
              <w:bottom w:w="70" w:type="dxa"/>
              <w:end w:w="90" w:type="dxa"/>
            </w:tcMar>
          </w:tcPr>
          <w:p>
            <w:r>
              <w:rPr>
                <w:color w:val="20252E"/>
                <w:sz w:val="17"/>
              </w:rPr>
              <w:t>Age 3+, one training/7 days total, +5 discipline development and superseded prototypes.</w:t>
            </w:r>
          </w:p>
        </w:tc>
      </w:tr>
      <w:tr>
        <w:trPr>
          <w:cantSplit/>
        </w:trPr>
        <w:tc>
          <w:tcPr>
            <w:tcW w:type="dxa" w:w="792"/>
            <w:shd w:fill="F7F8FA"/>
            <w:tcMar>
              <w:top w:w="70" w:type="dxa"/>
              <w:start w:w="90" w:type="dxa"/>
              <w:bottom w:w="70" w:type="dxa"/>
              <w:end w:w="90" w:type="dxa"/>
            </w:tcMar>
          </w:tcPr>
          <w:p>
            <w:r>
              <w:rPr>
                <w:color w:val="20252E"/>
                <w:sz w:val="17"/>
              </w:rPr>
              <w:t>12</w:t>
            </w:r>
          </w:p>
        </w:tc>
        <w:tc>
          <w:tcPr>
            <w:tcW w:type="dxa" w:w="3456"/>
            <w:shd w:fill="F7F8FA"/>
            <w:tcMar>
              <w:top w:w="70" w:type="dxa"/>
              <w:start w:w="90" w:type="dxa"/>
              <w:bottom w:w="70" w:type="dxa"/>
              <w:end w:w="90" w:type="dxa"/>
            </w:tcMar>
          </w:tcPr>
          <w:p>
            <w:r>
              <w:rPr>
                <w:color w:val="20252E"/>
                <w:sz w:val="17"/>
              </w:rPr>
              <w:t>Riders, Staff &amp; Professional Services</w:t>
            </w:r>
          </w:p>
        </w:tc>
        <w:tc>
          <w:tcPr>
            <w:tcW w:type="dxa" w:w="5904"/>
            <w:shd w:fill="F7F8FA"/>
            <w:tcMar>
              <w:top w:w="70" w:type="dxa"/>
              <w:start w:w="90" w:type="dxa"/>
              <w:bottom w:w="70" w:type="dxa"/>
              <w:end w:w="90" w:type="dxa"/>
            </w:tcMar>
          </w:tcPr>
          <w:p>
            <w:r>
              <w:rPr>
                <w:color w:val="20252E"/>
                <w:sz w:val="17"/>
              </w:rPr>
              <w:t>Rider careers/reveals/compatibility, grooms and professional-service roles.</w:t>
            </w:r>
          </w:p>
        </w:tc>
      </w:tr>
      <w:tr>
        <w:trPr>
          <w:cantSplit/>
        </w:trPr>
        <w:tc>
          <w:tcPr>
            <w:tcW w:type="dxa" w:w="792"/>
            <w:tcMar>
              <w:top w:w="70" w:type="dxa"/>
              <w:start w:w="90" w:type="dxa"/>
              <w:bottom w:w="70" w:type="dxa"/>
              <w:end w:w="90" w:type="dxa"/>
            </w:tcMar>
          </w:tcPr>
          <w:p>
            <w:r>
              <w:rPr>
                <w:color w:val="20252E"/>
                <w:sz w:val="17"/>
              </w:rPr>
              <w:t>13</w:t>
            </w:r>
          </w:p>
        </w:tc>
        <w:tc>
          <w:tcPr>
            <w:tcW w:type="dxa" w:w="3456"/>
            <w:tcMar>
              <w:top w:w="70" w:type="dxa"/>
              <w:start w:w="90" w:type="dxa"/>
              <w:bottom w:w="70" w:type="dxa"/>
              <w:end w:w="90" w:type="dxa"/>
            </w:tcMar>
          </w:tcPr>
          <w:p>
            <w:r>
              <w:rPr>
                <w:color w:val="20252E"/>
                <w:sz w:val="17"/>
              </w:rPr>
              <w:t>Competitions, Shows &amp; Event Scoring</w:t>
            </w:r>
          </w:p>
        </w:tc>
        <w:tc>
          <w:tcPr>
            <w:tcW w:type="dxa" w:w="5904"/>
            <w:tcMar>
              <w:top w:w="70" w:type="dxa"/>
              <w:start w:w="90" w:type="dxa"/>
              <w:bottom w:w="70" w:type="dxa"/>
              <w:end w:w="90" w:type="dxa"/>
            </w:tcMar>
          </w:tcPr>
          <w:p>
            <w:r>
              <w:rPr>
                <w:color w:val="20252E"/>
                <w:sz w:val="17"/>
              </w:rPr>
              <w:t>Entry/search/hosting, full 23-discipline score map, results, conformation/parades and Cups.</w:t>
            </w:r>
          </w:p>
        </w:tc>
      </w:tr>
      <w:tr>
        <w:trPr>
          <w:cantSplit/>
        </w:trPr>
        <w:tc>
          <w:tcPr>
            <w:tcW w:type="dxa" w:w="792"/>
            <w:shd w:fill="F7F8FA"/>
            <w:tcMar>
              <w:top w:w="70" w:type="dxa"/>
              <w:start w:w="90" w:type="dxa"/>
              <w:bottom w:w="70" w:type="dxa"/>
              <w:end w:w="90" w:type="dxa"/>
            </w:tcMar>
          </w:tcPr>
          <w:p>
            <w:r>
              <w:rPr>
                <w:color w:val="20252E"/>
                <w:sz w:val="17"/>
              </w:rPr>
              <w:t>14</w:t>
            </w:r>
          </w:p>
        </w:tc>
        <w:tc>
          <w:tcPr>
            <w:tcW w:type="dxa" w:w="3456"/>
            <w:shd w:fill="F7F8FA"/>
            <w:tcMar>
              <w:top w:w="70" w:type="dxa"/>
              <w:start w:w="90" w:type="dxa"/>
              <w:bottom w:w="70" w:type="dxa"/>
              <w:end w:w="90" w:type="dxa"/>
            </w:tcMar>
          </w:tcPr>
          <w:p>
            <w:r>
              <w:rPr>
                <w:color w:val="20252E"/>
                <w:sz w:val="17"/>
              </w:rPr>
              <w:t>Legacy, Prestige, Registries &amp; Hall of Fame</w:t>
            </w:r>
          </w:p>
        </w:tc>
        <w:tc>
          <w:tcPr>
            <w:tcW w:type="dxa" w:w="5904"/>
            <w:shd w:fill="F7F8FA"/>
            <w:tcMar>
              <w:top w:w="70" w:type="dxa"/>
              <w:start w:w="90" w:type="dxa"/>
              <w:bottom w:w="70" w:type="dxa"/>
              <w:end w:w="90" w:type="dxa"/>
            </w:tcMar>
          </w:tcPr>
          <w:p>
            <w:r>
              <w:rPr>
                <w:color w:val="20252E"/>
                <w:sz w:val="17"/>
              </w:rPr>
              <w:t>Generational legacy, active prestige, studbooks, lineage visualization and permanent history.</w:t>
            </w:r>
          </w:p>
        </w:tc>
      </w:tr>
      <w:tr>
        <w:trPr>
          <w:cantSplit/>
        </w:trPr>
        <w:tc>
          <w:tcPr>
            <w:tcW w:type="dxa" w:w="792"/>
            <w:tcMar>
              <w:top w:w="70" w:type="dxa"/>
              <w:start w:w="90" w:type="dxa"/>
              <w:bottom w:w="70" w:type="dxa"/>
              <w:end w:w="90" w:type="dxa"/>
            </w:tcMar>
          </w:tcPr>
          <w:p>
            <w:r>
              <w:rPr>
                <w:color w:val="20252E"/>
                <w:sz w:val="17"/>
              </w:rPr>
              <w:t>15</w:t>
            </w:r>
          </w:p>
        </w:tc>
        <w:tc>
          <w:tcPr>
            <w:tcW w:type="dxa" w:w="3456"/>
            <w:tcMar>
              <w:top w:w="70" w:type="dxa"/>
              <w:start w:w="90" w:type="dxa"/>
              <w:bottom w:w="70" w:type="dxa"/>
              <w:end w:w="90" w:type="dxa"/>
            </w:tcMar>
          </w:tcPr>
          <w:p>
            <w:r>
              <w:rPr>
                <w:color w:val="20252E"/>
                <w:sz w:val="17"/>
              </w:rPr>
              <w:t>Economy, Bank, Marketplace &amp; Trading</w:t>
            </w:r>
          </w:p>
        </w:tc>
        <w:tc>
          <w:tcPr>
            <w:tcW w:type="dxa" w:w="5904"/>
            <w:tcMar>
              <w:top w:w="70" w:type="dxa"/>
              <w:start w:w="90" w:type="dxa"/>
              <w:bottom w:w="70" w:type="dxa"/>
              <w:end w:w="90" w:type="dxa"/>
            </w:tcMar>
          </w:tcPr>
          <w:p>
            <w:r>
              <w:rPr>
                <w:color w:val="20252E"/>
                <w:sz w:val="17"/>
              </w:rPr>
              <w:t>Money/ledger, markets, studs/items, shops, sinks and economic open decisions.</w:t>
            </w:r>
          </w:p>
        </w:tc>
      </w:tr>
      <w:tr>
        <w:trPr>
          <w:cantSplit/>
        </w:trPr>
        <w:tc>
          <w:tcPr>
            <w:tcW w:type="dxa" w:w="792"/>
            <w:shd w:fill="F7F8FA"/>
            <w:tcMar>
              <w:top w:w="70" w:type="dxa"/>
              <w:start w:w="90" w:type="dxa"/>
              <w:bottom w:w="70" w:type="dxa"/>
              <w:end w:w="90" w:type="dxa"/>
            </w:tcMar>
          </w:tcPr>
          <w:p>
            <w:r>
              <w:rPr>
                <w:color w:val="20252E"/>
                <w:sz w:val="17"/>
              </w:rPr>
              <w:t>16</w:t>
            </w:r>
          </w:p>
        </w:tc>
        <w:tc>
          <w:tcPr>
            <w:tcW w:type="dxa" w:w="3456"/>
            <w:shd w:fill="F7F8FA"/>
            <w:tcMar>
              <w:top w:w="70" w:type="dxa"/>
              <w:start w:w="90" w:type="dxa"/>
              <w:bottom w:w="70" w:type="dxa"/>
              <w:end w:w="90" w:type="dxa"/>
            </w:tcMar>
          </w:tcPr>
          <w:p>
            <w:r>
              <w:rPr>
                <w:color w:val="20252E"/>
                <w:sz w:val="17"/>
              </w:rPr>
              <w:t>Professions, Crafting &amp; Items</w:t>
            </w:r>
          </w:p>
        </w:tc>
        <w:tc>
          <w:tcPr>
            <w:tcW w:type="dxa" w:w="5904"/>
            <w:shd w:fill="F7F8FA"/>
            <w:tcMar>
              <w:top w:w="70" w:type="dxa"/>
              <w:start w:w="90" w:type="dxa"/>
              <w:bottom w:w="70" w:type="dxa"/>
              <w:end w:w="90" w:type="dxa"/>
            </w:tcMar>
          </w:tcPr>
          <w:p>
            <w:r>
              <w:rPr>
                <w:color w:val="20252E"/>
                <w:sz w:val="17"/>
              </w:rPr>
              <w:t>Artisan jobs, materials, crafting, inventory/tack and premium-power conflicts.</w:t>
            </w:r>
          </w:p>
        </w:tc>
      </w:tr>
      <w:tr>
        <w:trPr>
          <w:cantSplit/>
        </w:trPr>
        <w:tc>
          <w:tcPr>
            <w:tcW w:type="dxa" w:w="792"/>
            <w:tcMar>
              <w:top w:w="70" w:type="dxa"/>
              <w:start w:w="90" w:type="dxa"/>
              <w:bottom w:w="70" w:type="dxa"/>
              <w:end w:w="90" w:type="dxa"/>
            </w:tcMar>
          </w:tcPr>
          <w:p>
            <w:r>
              <w:rPr>
                <w:color w:val="20252E"/>
                <w:sz w:val="17"/>
              </w:rPr>
              <w:t>17</w:t>
            </w:r>
          </w:p>
        </w:tc>
        <w:tc>
          <w:tcPr>
            <w:tcW w:type="dxa" w:w="3456"/>
            <w:tcMar>
              <w:top w:w="70" w:type="dxa"/>
              <w:start w:w="90" w:type="dxa"/>
              <w:bottom w:w="70" w:type="dxa"/>
              <w:end w:w="90" w:type="dxa"/>
            </w:tcMar>
          </w:tcPr>
          <w:p>
            <w:r>
              <w:rPr>
                <w:color w:val="20252E"/>
                <w:sz w:val="17"/>
              </w:rPr>
              <w:t>World Events, Quests, Seasonal Systems &amp; Live Ops</w:t>
            </w:r>
          </w:p>
        </w:tc>
        <w:tc>
          <w:tcPr>
            <w:tcW w:type="dxa" w:w="5904"/>
            <w:tcMar>
              <w:top w:w="70" w:type="dxa"/>
              <w:start w:w="90" w:type="dxa"/>
              <w:bottom w:w="70" w:type="dxa"/>
              <w:end w:w="90" w:type="dxa"/>
            </w:tcMar>
          </w:tcPr>
          <w:p>
            <w:r>
              <w:rPr>
                <w:color w:val="20252E"/>
                <w:sz w:val="17"/>
              </w:rPr>
              <w:t>Event engine, daily/weekly goals, seasons, calendar, special events and exploration boundary.</w:t>
            </w:r>
          </w:p>
        </w:tc>
      </w:tr>
      <w:tr>
        <w:trPr>
          <w:cantSplit/>
        </w:trPr>
        <w:tc>
          <w:tcPr>
            <w:tcW w:type="dxa" w:w="792"/>
            <w:shd w:fill="F7F8FA"/>
            <w:tcMar>
              <w:top w:w="70" w:type="dxa"/>
              <w:start w:w="90" w:type="dxa"/>
              <w:bottom w:w="70" w:type="dxa"/>
              <w:end w:w="90" w:type="dxa"/>
            </w:tcMar>
          </w:tcPr>
          <w:p>
            <w:r>
              <w:rPr>
                <w:color w:val="20252E"/>
                <w:sz w:val="17"/>
              </w:rPr>
              <w:t>18</w:t>
            </w:r>
          </w:p>
        </w:tc>
        <w:tc>
          <w:tcPr>
            <w:tcW w:type="dxa" w:w="3456"/>
            <w:shd w:fill="F7F8FA"/>
            <w:tcMar>
              <w:top w:w="70" w:type="dxa"/>
              <w:start w:w="90" w:type="dxa"/>
              <w:bottom w:w="70" w:type="dxa"/>
              <w:end w:w="90" w:type="dxa"/>
            </w:tcMar>
          </w:tcPr>
          <w:p>
            <w:r>
              <w:rPr>
                <w:color w:val="20252E"/>
                <w:sz w:val="17"/>
              </w:rPr>
              <w:t>Community, Clubs, Social &amp; Moderation</w:t>
            </w:r>
          </w:p>
        </w:tc>
        <w:tc>
          <w:tcPr>
            <w:tcW w:type="dxa" w:w="5904"/>
            <w:shd w:fill="F7F8FA"/>
            <w:tcMar>
              <w:top w:w="70" w:type="dxa"/>
              <w:start w:w="90" w:type="dxa"/>
              <w:bottom w:w="70" w:type="dxa"/>
              <w:end w:w="90" w:type="dxa"/>
            </w:tcMar>
          </w:tcPr>
          <w:p>
            <w:r>
              <w:rPr>
                <w:color w:val="20252E"/>
                <w:sz w:val="17"/>
              </w:rPr>
              <w:t>Chat/forums/PM, clubs/associations, leaderboards, permissions and moderation.</w:t>
            </w:r>
          </w:p>
        </w:tc>
      </w:tr>
      <w:tr>
        <w:trPr>
          <w:cantSplit/>
        </w:trPr>
        <w:tc>
          <w:tcPr>
            <w:tcW w:type="dxa" w:w="792"/>
            <w:tcMar>
              <w:top w:w="70" w:type="dxa"/>
              <w:start w:w="90" w:type="dxa"/>
              <w:bottom w:w="70" w:type="dxa"/>
              <w:end w:w="90" w:type="dxa"/>
            </w:tcMar>
          </w:tcPr>
          <w:p>
            <w:r>
              <w:rPr>
                <w:color w:val="20252E"/>
                <w:sz w:val="17"/>
              </w:rPr>
              <w:t>19</w:t>
            </w:r>
          </w:p>
        </w:tc>
        <w:tc>
          <w:tcPr>
            <w:tcW w:type="dxa" w:w="3456"/>
            <w:tcMar>
              <w:top w:w="70" w:type="dxa"/>
              <w:start w:w="90" w:type="dxa"/>
              <w:bottom w:w="70" w:type="dxa"/>
              <w:end w:w="90" w:type="dxa"/>
            </w:tcMar>
          </w:tcPr>
          <w:p>
            <w:r>
              <w:rPr>
                <w:color w:val="20252E"/>
                <w:sz w:val="17"/>
              </w:rPr>
              <w:t>UI/UX, Art Direction &amp; Interaction Design</w:t>
            </w:r>
          </w:p>
        </w:tc>
        <w:tc>
          <w:tcPr>
            <w:tcW w:type="dxa" w:w="5904"/>
            <w:tcMar>
              <w:top w:w="70" w:type="dxa"/>
              <w:start w:w="90" w:type="dxa"/>
              <w:bottom w:w="70" w:type="dxa"/>
              <w:end w:w="90" w:type="dxa"/>
            </w:tcMar>
          </w:tcPr>
          <w:p>
            <w:r>
              <w:rPr>
                <w:color w:val="20252E"/>
                <w:sz w:val="17"/>
              </w:rPr>
              <w:t>Current celestial authored world, anti-SaaS hierarchy, typography, Three.js and superseded themes.</w:t>
            </w:r>
          </w:p>
        </w:tc>
      </w:tr>
      <w:tr>
        <w:trPr>
          <w:cantSplit/>
        </w:trPr>
        <w:tc>
          <w:tcPr>
            <w:tcW w:type="dxa" w:w="792"/>
            <w:shd w:fill="F7F8FA"/>
            <w:tcMar>
              <w:top w:w="70" w:type="dxa"/>
              <w:start w:w="90" w:type="dxa"/>
              <w:bottom w:w="70" w:type="dxa"/>
              <w:end w:w="90" w:type="dxa"/>
            </w:tcMar>
          </w:tcPr>
          <w:p>
            <w:r>
              <w:rPr>
                <w:color w:val="20252E"/>
                <w:sz w:val="17"/>
              </w:rPr>
              <w:t>20</w:t>
            </w:r>
          </w:p>
        </w:tc>
        <w:tc>
          <w:tcPr>
            <w:tcW w:type="dxa" w:w="3456"/>
            <w:shd w:fill="F7F8FA"/>
            <w:tcMar>
              <w:top w:w="70" w:type="dxa"/>
              <w:start w:w="90" w:type="dxa"/>
              <w:bottom w:w="70" w:type="dxa"/>
              <w:end w:w="90" w:type="dxa"/>
            </w:tcMar>
          </w:tcPr>
          <w:p>
            <w:r>
              <w:rPr>
                <w:color w:val="20252E"/>
                <w:sz w:val="17"/>
              </w:rPr>
              <w:t>Monetization &amp; Premium Systems</w:t>
            </w:r>
          </w:p>
        </w:tc>
        <w:tc>
          <w:tcPr>
            <w:tcW w:type="dxa" w:w="5904"/>
            <w:shd w:fill="F7F8FA"/>
            <w:tcMar>
              <w:top w:w="70" w:type="dxa"/>
              <w:start w:w="90" w:type="dxa"/>
              <w:bottom w:w="70" w:type="dxa"/>
              <w:end w:w="90" w:type="dxa"/>
            </w:tcMar>
          </w:tcPr>
          <w:p>
            <w:r>
              <w:rPr>
                <w:color w:val="20252E"/>
                <w:sz w:val="17"/>
              </w:rPr>
              <w:t>Anti-P2W rules, token/appearance/QoL history, subscriptions and superseded power offers.</w:t>
            </w:r>
          </w:p>
        </w:tc>
      </w:tr>
      <w:tr>
        <w:trPr>
          <w:cantSplit/>
        </w:trPr>
        <w:tc>
          <w:tcPr>
            <w:tcW w:type="dxa" w:w="792"/>
            <w:tcMar>
              <w:top w:w="70" w:type="dxa"/>
              <w:start w:w="90" w:type="dxa"/>
              <w:bottom w:w="70" w:type="dxa"/>
              <w:end w:w="90" w:type="dxa"/>
            </w:tcMar>
          </w:tcPr>
          <w:p>
            <w:r>
              <w:rPr>
                <w:color w:val="20252E"/>
                <w:sz w:val="17"/>
              </w:rPr>
              <w:t>21</w:t>
            </w:r>
          </w:p>
        </w:tc>
        <w:tc>
          <w:tcPr>
            <w:tcW w:type="dxa" w:w="3456"/>
            <w:tcMar>
              <w:top w:w="70" w:type="dxa"/>
              <w:start w:w="90" w:type="dxa"/>
              <w:bottom w:w="70" w:type="dxa"/>
              <w:end w:w="90" w:type="dxa"/>
            </w:tcMar>
          </w:tcPr>
          <w:p>
            <w:r>
              <w:rPr>
                <w:color w:val="20252E"/>
                <w:sz w:val="17"/>
              </w:rPr>
              <w:t>Screens / Surface Inventory</w:t>
            </w:r>
          </w:p>
        </w:tc>
        <w:tc>
          <w:tcPr>
            <w:tcW w:type="dxa" w:w="5904"/>
            <w:tcMar>
              <w:top w:w="70" w:type="dxa"/>
              <w:start w:w="90" w:type="dxa"/>
              <w:bottom w:w="70" w:type="dxa"/>
              <w:end w:w="90" w:type="dxa"/>
            </w:tcMar>
          </w:tcPr>
          <w:p>
            <w:r>
              <w:rPr>
                <w:color w:val="20252E"/>
                <w:sz w:val="17"/>
              </w:rPr>
              <w:t>Canonical surface map and how all old screens map into current realms.</w:t>
            </w:r>
          </w:p>
        </w:tc>
      </w:tr>
      <w:tr>
        <w:trPr>
          <w:cantSplit/>
        </w:trPr>
        <w:tc>
          <w:tcPr>
            <w:tcW w:type="dxa" w:w="792"/>
            <w:shd w:fill="F7F8FA"/>
            <w:tcMar>
              <w:top w:w="70" w:type="dxa"/>
              <w:start w:w="90" w:type="dxa"/>
              <w:bottom w:w="70" w:type="dxa"/>
              <w:end w:w="90" w:type="dxa"/>
            </w:tcMar>
          </w:tcPr>
          <w:p>
            <w:r>
              <w:rPr>
                <w:color w:val="20252E"/>
                <w:sz w:val="17"/>
              </w:rPr>
              <w:t>22</w:t>
            </w:r>
          </w:p>
        </w:tc>
        <w:tc>
          <w:tcPr>
            <w:tcW w:type="dxa" w:w="3456"/>
            <w:shd w:fill="F7F8FA"/>
            <w:tcMar>
              <w:top w:w="70" w:type="dxa"/>
              <w:start w:w="90" w:type="dxa"/>
              <w:bottom w:w="70" w:type="dxa"/>
              <w:end w:w="90" w:type="dxa"/>
            </w:tcMar>
          </w:tcPr>
          <w:p>
            <w:r>
              <w:rPr>
                <w:color w:val="20252E"/>
                <w:sz w:val="17"/>
              </w:rPr>
              <w:t>Accessibility, Performance, Security &amp; Operations</w:t>
            </w:r>
          </w:p>
        </w:tc>
        <w:tc>
          <w:tcPr>
            <w:tcW w:type="dxa" w:w="5904"/>
            <w:shd w:fill="F7F8FA"/>
            <w:tcMar>
              <w:top w:w="70" w:type="dxa"/>
              <w:start w:w="90" w:type="dxa"/>
              <w:bottom w:w="70" w:type="dxa"/>
              <w:end w:w="90" w:type="dxa"/>
            </w:tcMar>
          </w:tcPr>
          <w:p>
            <w:r>
              <w:rPr>
                <w:color w:val="20252E"/>
                <w:sz w:val="17"/>
              </w:rPr>
              <w:t>Accessibility, &gt;100-horse performance, auth/security, tests/CI/migrations and observability.</w:t>
            </w:r>
          </w:p>
        </w:tc>
      </w:tr>
      <w:tr>
        <w:trPr>
          <w:cantSplit/>
        </w:trPr>
        <w:tc>
          <w:tcPr>
            <w:tcW w:type="dxa" w:w="792"/>
            <w:tcMar>
              <w:top w:w="70" w:type="dxa"/>
              <w:start w:w="90" w:type="dxa"/>
              <w:bottom w:w="70" w:type="dxa"/>
              <w:end w:w="90" w:type="dxa"/>
            </w:tcMar>
          </w:tcPr>
          <w:p>
            <w:r>
              <w:rPr>
                <w:color w:val="20252E"/>
                <w:sz w:val="17"/>
              </w:rPr>
              <w:t>23</w:t>
            </w:r>
          </w:p>
        </w:tc>
        <w:tc>
          <w:tcPr>
            <w:tcW w:type="dxa" w:w="3456"/>
            <w:tcMar>
              <w:top w:w="70" w:type="dxa"/>
              <w:start w:w="90" w:type="dxa"/>
              <w:bottom w:w="70" w:type="dxa"/>
              <w:end w:w="90" w:type="dxa"/>
            </w:tcMar>
          </w:tcPr>
          <w:p>
            <w:r>
              <w:rPr>
                <w:color w:val="20252E"/>
                <w:sz w:val="17"/>
              </w:rPr>
              <w:t>Open Questions, Conflicts &amp; Superseded Ideas</w:t>
            </w:r>
          </w:p>
        </w:tc>
        <w:tc>
          <w:tcPr>
            <w:tcW w:type="dxa" w:w="5904"/>
            <w:tcMar>
              <w:top w:w="70" w:type="dxa"/>
              <w:start w:w="90" w:type="dxa"/>
              <w:bottom w:w="70" w:type="dxa"/>
              <w:end w:w="90" w:type="dxa"/>
            </w:tcMar>
          </w:tcPr>
          <w:p>
            <w:r>
              <w:rPr>
                <w:color w:val="20252E"/>
                <w:sz w:val="17"/>
              </w:rPr>
              <w:t>Precedence, unresolved decisions, obsolete mechanics, terminology collisions and lock workflow.</w:t>
            </w:r>
          </w:p>
        </w:tc>
      </w:tr>
    </w:tbl>
    <w:p/>
    <w:p>
      <w:pPr>
        <w:pStyle w:val="Heading1"/>
      </w:pPr>
      <w:r>
        <w:t>Project-level anti-drift principles</w:t>
      </w:r>
    </w:p>
    <w:p>
      <w:pPr>
        <w:pStyle w:val="ListBullet"/>
        <w:spacing w:after="60"/>
      </w:pPr>
      <w:r>
        <w:t>Equoria is a large-stable horse breeding/management game, not a one- or two-horse virtual pet loop.</w:t>
      </w:r>
    </w:p>
    <w:p>
      <w:pPr>
        <w:pStyle w:val="ListBullet"/>
        <w:spacing w:after="60"/>
      </w:pPr>
      <w:r>
        <w:t>Dense information is a feature when hierarchically presented; do not “simplify” away genetics, pedigree, records, stable scale, or management depth.</w:t>
      </w:r>
    </w:p>
    <w:p>
      <w:pPr>
        <w:pStyle w:val="ListBullet"/>
        <w:spacing w:after="60"/>
      </w:pPr>
      <w:r>
        <w:t>The Stable is a lived-in home base plus powerful roster/ledger tools, not a generic KPI dashboard.</w:t>
      </w:r>
    </w:p>
    <w:p>
      <w:pPr>
        <w:pStyle w:val="ListBullet"/>
        <w:spacing w:after="60"/>
      </w:pPr>
      <w:r>
        <w:t>The authored celestial equestrian UI should not collapse into generic SaaS cards, bento grids, or fantasy-RPG clichés.</w:t>
      </w:r>
    </w:p>
    <w:p>
      <w:pPr>
        <w:pStyle w:val="ListBullet"/>
        <w:spacing w:after="60"/>
      </w:pPr>
      <w:r>
        <w:t>Later explicit decisions supersede earlier prototypes. Preserve history without allowing obsolete implementation notes to overwrite current intent.</w:t>
      </w:r>
    </w:p>
    <w:p>
      <w:pPr>
        <w:pStyle w:val="ListBullet"/>
        <w:spacing w:after="60"/>
      </w:pPr>
      <w:r>
        <w:t>Core strategy should not be pay-to-win. Premium systems must not quietly become mandatory competitive power.</w:t>
      </w:r>
    </w:p>
    <w:p>
      <w:r>
        <w:br w:type="page"/>
      </w:r>
    </w:p>
    <w:p>
      <w:pPr>
        <w:pStyle w:val="Heading1"/>
        <w:keepNext/>
        <w:keepLines/>
      </w:pPr>
      <w:r>
        <w:rPr>
          <w:b/>
        </w:rPr>
        <w:t>SECOND-DEPTH RECONSTRUCTION PASS</w:t>
      </w:r>
    </w:p>
    <w:p>
      <w:pPr>
        <w:pStyle w:val="Heading2"/>
        <w:keepNext/>
        <w:keepLines/>
      </w:pPr>
      <w:r>
        <w:t>Deep-pass governance and source control</w:t>
      </w:r>
    </w:p>
    <w:p>
      <w:pPr>
        <w:pStyle w:val="DeepNote"/>
      </w:pPr>
      <w:r>
        <w:t>Added 5 October 2026 • source-audited against the re-uploaded historical files</w:t>
      </w:r>
    </w:p>
    <w:tbl>
      <w:tblPr>
        <w:tblW w:type="auto" w:w="0"/>
        <w:jc w:val="center"/>
        <w:tblLook w:firstColumn="1" w:firstRow="1" w:lastColumn="0" w:lastRow="0" w:noHBand="0" w:noVBand="1" w:val="04A0"/>
      </w:tblPr>
      <w:tblGrid>
        <w:gridCol w:w="10166"/>
      </w:tblGrid>
      <w:tr>
        <w:tc>
          <w:tcPr>
            <w:tcW w:type="dxa" w:w="10166"/>
            <w:shd w:fill="F2EFE6"/>
            <w:vAlign w:val="center"/>
          </w:tcPr>
          <w:p>
            <w:pPr>
              <w:keepLines/>
            </w:pPr>
            <w:r>
              <w:rPr>
                <w:b/>
              </w:rPr>
              <w:t xml:space="preserve">Evidence discipline. </w:t>
            </w:r>
            <w:r>
              <w:t>Evidence labels used in this deep pass: SOURCE-EXPLICIT means the uploaded historical material states the requirement directly; RECOVERED-CANON means the first reconstruction pass already preserved a user-directed rule from the earlier chat history; DERIVED-CONTRACT restates supported requirements as an implementation obligation without adding new balance; HISTORICAL/MOCKUP records a contemplated implementation or presentation but does not promote it to canon; OPEN means the source record does not resolve the decision.</w:t>
            </w:r>
          </w:p>
        </w:tc>
      </w:tr>
    </w:tbl>
    <w:p/>
    <w:p>
      <w:pPr>
        <w:pStyle w:val="Heading2"/>
        <w:keepNext/>
        <w:keepLines/>
      </w:pPr>
      <w:r>
        <w:t>Source classes and precedence</w:t>
      </w:r>
    </w:p>
    <w:p>
      <w:pPr>
        <w:pStyle w:val="ListBullet"/>
        <w:keepLines/>
      </w:pPr>
      <w:r>
        <w:rPr>
          <w:b/>
        </w:rPr>
        <w:t xml:space="preserve">[DERIVED-CONTRACT] </w:t>
      </w:r>
      <w:r>
        <w:t>Treat direct, later user decisions as the highest design authority. A later explicit correction outranks an earlier implementation plan even when the older plan contains more code-level detail.</w:t>
      </w:r>
    </w:p>
    <w:p>
      <w:pPr>
        <w:pStyle w:val="ListBullet"/>
        <w:keepLines/>
      </w:pPr>
      <w:r>
        <w:rPr>
          <w:b/>
        </w:rPr>
        <w:t xml:space="preserve">[DERIVED-CONTRACT] </w:t>
      </w:r>
      <w:r>
        <w:t>Treat project rule files (.mdc) as strong evidence of intended requirements, but distinguish product/design rules from coding conventions. A coding example can establish an architectural pattern without making its example route gate, color, number, or premium restriction canonical.</w:t>
      </w:r>
    </w:p>
    <w:p>
      <w:pPr>
        <w:pStyle w:val="ListBullet"/>
        <w:keepLines/>
      </w:pPr>
      <w:r>
        <w:rPr>
          <w:b/>
        </w:rPr>
        <w:t xml:space="preserve">[DERIVED-CONTRACT] </w:t>
      </w:r>
      <w:r>
        <w:t>Treat Week 1–4 build plans as implementation-history evidence. They are especially valuable for data fields, endpoints, logs, test expectations and early progression rules, but later explicit design corrections override them.</w:t>
      </w:r>
    </w:p>
    <w:p>
      <w:pPr>
        <w:pStyle w:val="ListBullet"/>
        <w:keepLines/>
      </w:pPr>
      <w:r>
        <w:rPr>
          <w:b/>
        </w:rPr>
        <w:t xml:space="preserve">[DERIVED-CONTRACT] </w:t>
      </w:r>
      <w:r>
        <w:t>Treat Claude wireframes/style guides as evidence that a screen, field, interaction or user flow was contemplated. Their example horses, XP values, energy thresholds, colors, fonts, durations and button shapes remain mock data/presentation unless independently supported.</w:t>
      </w:r>
    </w:p>
    <w:p>
      <w:pPr>
        <w:pStyle w:val="ListBullet"/>
        <w:keepLines/>
      </w:pPr>
      <w:r>
        <w:rPr>
          <w:b/>
        </w:rPr>
        <w:t xml:space="preserve">[DERIVED-CONTRACT] </w:t>
      </w:r>
      <w:r>
        <w:t>No future agent may “resolve” an OPEN item merely by implementing something convenient. OPEN items require an explicit design decision record.</w:t>
      </w:r>
    </w:p>
    <w:p>
      <w:pPr>
        <w:pStyle w:val="Heading2"/>
        <w:keepNext/>
        <w:keepLines/>
      </w:pPr>
      <w:r>
        <w:t>Canonical change-control workflow</w:t>
      </w:r>
    </w:p>
    <w:p>
      <w:pPr>
        <w:pStyle w:val="ListBullet"/>
        <w:keepLines/>
      </w:pPr>
      <w:r>
        <w:rPr>
          <w:b/>
        </w:rPr>
        <w:t xml:space="preserve">[DERIVED-CONTRACT] </w:t>
      </w:r>
      <w:r>
        <w:t>Any future change that alters a locked/current mechanic should record: affected volume(s), old rule, new rule, reason, date, whether code/data migration is required, and which earlier rule is superseded.</w:t>
      </w:r>
    </w:p>
    <w:p>
      <w:pPr>
        <w:pStyle w:val="ListBullet"/>
        <w:keepLines/>
      </w:pPr>
      <w:r>
        <w:rPr>
          <w:b/>
        </w:rPr>
        <w:t xml:space="preserve">[DERIVED-CONTRACT] </w:t>
      </w:r>
      <w:r>
        <w:t>Implementation work must cite the applicable volume/decision before changing a mechanic. If code disagrees with the bible, that mismatch is a defect or an unresolved design decision—not automatic evidence that the code is right.</w:t>
      </w:r>
    </w:p>
    <w:p>
      <w:pPr>
        <w:pStyle w:val="ListBullet"/>
        <w:keepLines/>
      </w:pPr>
      <w:r>
        <w:rPr>
          <w:b/>
        </w:rPr>
        <w:t xml:space="preserve">[DERIVED-CONTRACT] </w:t>
      </w:r>
      <w:r>
        <w:t>Mockups may introduce temporary example values only when visibly labeled MOCK/EXAMPLE. Example values must not be persisted into migrations, balance tables or tests as canonical unless separately approved.</w:t>
      </w:r>
    </w:p>
    <w:p>
      <w:pPr>
        <w:pStyle w:val="ListBullet"/>
        <w:keepLines/>
      </w:pPr>
      <w:r>
        <w:rPr>
          <w:b/>
        </w:rPr>
        <w:t xml:space="preserve">[DERIVED-CONTRACT] </w:t>
      </w:r>
      <w:r>
        <w:t>Cross-volume changes must be propagated. Example: changing adult age affects foal development, riders, training, competition eligibility, breeding and search filters; changing health states affects care, competition, UI and database enums.</w:t>
      </w:r>
    </w:p>
    <w:p>
      <w:pPr>
        <w:pStyle w:val="Heading2"/>
        <w:keepNext/>
        <w:keepLines/>
      </w:pPr>
      <w:r>
        <w:t>Deep-pass deliverable standard</w:t>
      </w:r>
    </w:p>
    <w:p>
      <w:pPr>
        <w:pStyle w:val="ListBullet"/>
        <w:keepLines/>
      </w:pPr>
      <w:r>
        <w:rPr>
          <w:b/>
        </w:rPr>
        <w:t xml:space="preserve">[DERIVED-CONTRACT] </w:t>
      </w:r>
      <w:r>
        <w:t>Every system volume should answer five questions: what the player is trying to do; what data/state the game must preserve; what rules determine legal/illegal state transitions; what other systems read/write that state; and which historical variants must not silently return.</w:t>
      </w:r>
    </w:p>
    <w:p>
      <w:pPr>
        <w:pStyle w:val="ListBullet"/>
        <w:keepLines/>
      </w:pPr>
      <w:r>
        <w:rPr>
          <w:b/>
        </w:rPr>
        <w:t xml:space="preserve">[DERIVED-CONTRACT] </w:t>
      </w:r>
      <w:r>
        <w:t>Every volume must keep a visible boundary between rules and presentation. A visual redesign may change layout, art and motion without changing genetics, cooldowns, eligibility, economy or recordkeeping.</w:t>
      </w:r>
    </w:p>
    <w:p>
      <w:pPr>
        <w:pStyle w:val="ListBullet"/>
        <w:keepLines/>
      </w:pPr>
      <w:r>
        <w:rPr>
          <w:b/>
        </w:rPr>
        <w:t xml:space="preserve">[DERIVED-CONTRACT] </w:t>
      </w:r>
      <w:r>
        <w:t>Every unresolved formula or threshold stays OPEN and should be tested through an explicit design/balance pass rather than guessed by the implementing model.</w:t>
      </w:r>
    </w:p>
    <w:p>
      <w:pPr>
        <w:pStyle w:val="Heading2"/>
        <w:keepNext/>
        <w:keepLines/>
      </w:pPr>
      <w:r>
        <w:t>Source trace for this deep pass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F3D4D"/>
          </w:tcPr>
          <w:p>
            <w:r>
              <w:rPr>
                <w:b/>
                <w:color w:val="FFFFFF"/>
              </w:rPr>
              <w:t>Source</w:t>
            </w:r>
          </w:p>
        </w:tc>
        <w:tc>
          <w:tcPr>
            <w:tcW w:type="dxa" w:w="5083"/>
            <w:shd w:fill="2F3D4D"/>
          </w:tcPr>
          <w:p>
            <w:r>
              <w:rPr>
                <w:b/>
                <w:color w:val="FFFFFF"/>
              </w:rPr>
              <w:t>How it is used here</w:t>
            </w:r>
          </w:p>
        </w:tc>
      </w:tr>
      <w:tr>
        <w:tc>
          <w:tcPr>
            <w:tcW w:type="dxa" w:w="5083"/>
            <w:vAlign w:val="top"/>
          </w:tcPr>
          <w:p>
            <w:pPr>
              <w:keepLines/>
            </w:pPr>
            <w:r>
              <w:t>All uploaded Week 1–4 plans</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001_project_overview.mdc through 008_frontendcoding.mdc</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auth.mdc</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all uploaded UI/system overview documents</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the 23-volume first reconstruction pass</w:t>
            </w:r>
          </w:p>
        </w:tc>
        <w:tc>
          <w:tcPr>
            <w:tcW w:type="dxa" w:w="5083"/>
            <w:vAlign w:val="top"/>
          </w:tcPr>
          <w:p>
            <w:pPr>
              <w:keepLines/>
            </w:pPr>
            <w:r>
              <w:t>Evidence for requirements/history; exact authority depends on whether the source is a rule file, implementation plan, UI mockup, or reconstructed user-directed canon.</w:t>
            </w:r>
          </w:p>
        </w:tc>
      </w:tr>
    </w:tbl>
    <w:p>
      <w:pPr>
        <w:pStyle w:val="Heading2"/>
        <w:keepNext/>
        <w:keepLines/>
      </w:pPr>
      <w:r>
        <w:t>Deep-pass acceptance checks</w:t>
      </w:r>
    </w:p>
    <w:p>
      <w:pPr>
        <w:pStyle w:val="ListBullet"/>
        <w:keepLines/>
      </w:pPr>
      <w:r>
        <w:rPr>
          <w:b/>
        </w:rPr>
        <w:t xml:space="preserve">[DERIVED-CONTRACT] </w:t>
      </w:r>
      <w:r>
        <w:t>A future implementation can identify which values are locked versus open without guessing from a mockup.</w:t>
      </w:r>
    </w:p>
    <w:p>
      <w:pPr>
        <w:pStyle w:val="ListBullet"/>
        <w:keepLines/>
      </w:pPr>
      <w:r>
        <w:rPr>
          <w:b/>
        </w:rPr>
        <w:t xml:space="preserve">[DERIVED-CONTRACT] </w:t>
      </w:r>
      <w:r>
        <w:t>Any historical rule that conflicts with a later correction is visibly marked and cannot silently return through copied code/tests.</w:t>
      </w:r>
    </w:p>
    <w:p>
      <w:pPr>
        <w:pStyle w:val="ListBullet"/>
        <w:keepLines/>
      </w:pPr>
      <w:r>
        <w:rPr>
          <w:b/>
        </w:rPr>
        <w:t xml:space="preserve">[DERIVED-CONTRACT] </w:t>
      </w:r>
      <w:r>
        <w:t>The UI can be redesigned without deleting the underlying system responsibilities or authoritative records.</w:t>
      </w:r>
    </w:p>
    <w:p>
      <w:pPr>
        <w:pStyle w:val="ListBullet"/>
        <w:keepLines/>
      </w:pPr>
      <w:r>
        <w:rPr>
          <w:b/>
        </w:rPr>
        <w:t xml:space="preserve">[DERIVED-CONTRACT] </w:t>
      </w:r>
      <w:r>
        <w:t>Server/domain logic remains the source of eligibility, scoring, economy and permissions; clients render and request actions rather than inventing rules.</w:t>
      </w:r>
    </w:p>
    <w:p>
      <w:pPr>
        <w:pStyle w:val="ListBullet"/>
        <w:keepLines/>
      </w:pPr>
      <w:r>
        <w:rPr>
          <w:b/>
        </w:rPr>
        <w:t xml:space="preserve">[DERIVED-CONTRACT] </w:t>
      </w:r>
      <w:r>
        <w:t>If a required rule is unsupported by the recovered record, it remains OPEN and is routed to an explicit design decision instead of being fabricated.</w:t>
      </w:r>
    </w:p>
    <w:p>
      <w:r>
        <w:br w:type="page"/>
      </w:r>
    </w:p>
    <w:p>
      <w:pPr>
        <w:pStyle w:val="Heading1"/>
      </w:pPr>
      <w:r>
        <w:t>CANONICAL DECISION UPDATE — 6 OCTOBER 2026</w:t>
      </w:r>
    </w:p>
    <w:p>
      <w:pPr>
        <w:pStyle w:val="DeepNote"/>
      </w:pPr>
      <w:r>
        <w:t>Direct owner decisions from the 5–6 October 2026 design-lock session. These decisions outrank earlier mockups, examples and assistant-generated interpretations.</w:t>
      </w:r>
    </w:p>
    <w:p>
      <w:pPr>
        <w:pStyle w:val="Heading2"/>
      </w:pPr>
      <w:r>
        <w:t>Decision-lock ledger: economy, horse progression and reputation systems</w:t>
      </w:r>
    </w:p>
    <w:p>
      <w:pPr>
        <w:pStyle w:val="Heading2"/>
      </w:pPr>
      <w:r>
        <w:t>Economy now locked</w:t>
      </w:r>
    </w:p>
    <w:p>
      <w:pPr>
        <w:pStyle w:val="ListBullet"/>
      </w:pPr>
      <w:r>
        <w:t>[LOCKED] Standard gameplay currency is Equoria Coins, abbreviated EQ. New accounts begin with 10,000 EQ.</w:t>
      </w:r>
    </w:p>
    <w:p>
      <w:pPr>
        <w:pStyle w:val="ListBullet"/>
      </w:pPr>
      <w:r>
        <w:t>[LOCKED] Basic accounts receive 5,000 EQ per week. Premium accounts receive 10,000 EQ per week.</w:t>
      </w:r>
    </w:p>
    <w:p>
      <w:pPr>
        <w:pStyle w:val="ListBullet"/>
      </w:pPr>
      <w:r>
        <w:t>[LOCKED] Premium Tokens are a separate premium currency. Premium membership includes Premium Tokens; Premium Tokens may also be purchased à la carte. Exact token allowance/cadence and prices remain separate monetization decisions.</w:t>
      </w:r>
    </w:p>
    <w:p>
      <w:pPr>
        <w:pStyle w:val="Heading2"/>
      </w:pPr>
      <w:r>
        <w:t>Progression vocabulary now locked</w:t>
      </w:r>
    </w:p>
    <w:p>
      <w:pPr>
        <w:pStyle w:val="ListBullet"/>
      </w:pPr>
      <w:r>
        <w:t>[LOCKED] Player Level is account experience/progression and governs account unlocks.</w:t>
      </w:r>
    </w:p>
    <w:p>
      <w:pPr>
        <w:pStyle w:val="ListBullet"/>
      </w:pPr>
      <w:r>
        <w:t>[LOCKED] Horses do not have a generic RPG-style horse level or horse XP bar. Development is expressed through stats, training and competition-specific ability.</w:t>
      </w:r>
    </w:p>
    <w:p>
      <w:pPr>
        <w:pStyle w:val="ListBullet"/>
      </w:pPr>
      <w:r>
        <w:t>[LOCKED] Horse Points are earned through competition: 1 for non-placement, 3 for 3rd, 5 for 2nd and 10 for 1st. Game-run special seasonal competitions award double Horse Points.</w:t>
      </w:r>
    </w:p>
    <w:p>
      <w:pPr>
        <w:pStyle w:val="ListBullet"/>
      </w:pPr>
      <w:r>
        <w:t>[LOCKED] Every 1,000 Horse Points earns the right to allocate one stat increase. Horse Points/earned allocations may be banked indefinitely as a strategic choice.</w:t>
      </w:r>
    </w:p>
    <w:p>
      <w:pPr>
        <w:pStyle w:val="ListBullet"/>
      </w:pPr>
      <w:r>
        <w:t>[LOCKED] A horse’s “level” means its competition level/weight for a particular competition type, not one universal horse level.</w:t>
      </w:r>
    </w:p>
    <w:p>
      <w:pPr>
        <w:pStyle w:val="Heading2"/>
      </w:pPr>
      <w:r>
        <w:t>Reputation architecture now accepted</w:t>
      </w:r>
    </w:p>
    <w:p>
      <w:pPr>
        <w:pStyle w:val="ListBullet"/>
      </w:pPr>
      <w:r>
        <w:t>[CURRENT] Horse Prestige represents quality of competitive career and unlocks special opportunities/recognition rather than raw competitive power.</w:t>
      </w:r>
    </w:p>
    <w:p>
      <w:pPr>
        <w:pStyle w:val="ListBullet"/>
      </w:pPr>
      <w:r>
        <w:t>[CURRENT] Legacy represents durable multigenerational/historical influence. It must make valuable legacy lines worth preserving even when an overused descendant creates a popularity stigma; the exact mechanical benefit is still OPEN.</w:t>
      </w:r>
    </w:p>
    <w:p>
      <w:pPr>
        <w:pStyle w:val="ListBullet"/>
      </w:pPr>
      <w:r>
        <w:t>[CURRENT] Breeder Prestige recognizes horses the player actually bred; Stable Prestige recognizes accomplishments achieved under the stable’s management; Registry/Breed standing recognizes breed-specific contribution; Guild Prestige recognizes collective guild accomplishment.</w:t>
      </w:r>
    </w:p>
    <w:p>
      <w:pPr>
        <w:pStyle w:val="ListBullet"/>
      </w:pPr>
      <w:r>
        <w:t>[LOCKED] Reputation systems may unlock recognition, qualification, visibility, ceremonies, titles, cosmetics, historical status and special opportunities. They do not directly increase a horse’s competition score or genetic quality.</w:t>
      </w:r>
    </w:p>
    <w:p>
      <w:pPr>
        <w:pStyle w:val="Heading2"/>
      </w:pPr>
      <w:r>
        <w:t>Prestige reward direction</w:t>
      </w:r>
    </w:p>
    <w:p>
      <w:pPr>
        <w:pStyle w:val="ListBullet"/>
      </w:pPr>
      <w:r>
        <w:t>[CURRENT] Qualifying prestige breeders and prestige stables are intended to be evaluated on a quarterly cadence and may earn an achievement-only Prestige Token for a special Prestige Shop. Exact qualification thresholds and catalog remain OPEN.</w:t>
      </w:r>
    </w:p>
    <w:p>
      <w:pPr>
        <w:pStyle w:val="ListBullet"/>
      </w:pPr>
      <w:r>
        <w:t>[CURRENT] Prestige rewards provide Basic players a non-premium path to rare/special rewards.</w:t>
      </w:r>
    </w:p>
    <w:p>
      <w:pPr>
        <w:pStyle w:val="ListBullet"/>
      </w:pPr>
      <w:r>
        <w:t>[CURRENT] Prestige guilds are intended to receive a quarter-specific production reward: access during that quarter to a special item/service that cannot be newly produced after the quarter closes, although already-created items persist.</w:t>
      </w:r>
    </w:p>
    <w:p>
      <w:pPr>
        <w:pStyle w:val="Heading1"/>
        <w:keepNext/>
      </w:pPr>
      <w:r>
        <w:t>CANONICAL DECISION UPDATE — 8 OCTOBER 2026</w:t>
      </w:r>
    </w:p>
    <w:p>
      <w:pPr>
        <w:pStyle w:val="Heading2"/>
        <w:keepNext/>
      </w:pPr>
      <w:r>
        <w:t>Horse Prestige scoring architecture now locked</w:t>
      </w:r>
    </w:p>
    <w:p>
      <w:pPr>
        <w:pStyle w:val="ListBullet"/>
      </w:pPr>
      <w:r>
        <w:t>[LOCKED] Horse Prestige is permanent, non-spendable career recognition. It is not Horse Points, player XP, a stat, money, or a purchasable resource.</w:t>
      </w:r>
    </w:p>
    <w:p>
      <w:pPr>
        <w:pStyle w:val="ListBullet"/>
      </w:pPr>
      <w:r>
        <w:t>[LOCKED] Prestige is tracked both overall and by discipline/type so qualification and historical recognition can distinguish where a horse actually earned its reputation.</w:t>
      </w:r>
    </w:p>
    <w:p>
      <w:pPr>
        <w:pStyle w:val="ListBullet"/>
      </w:pPr>
      <w:r>
        <w:t>[LOCKED] Standard competition Prestige uses: Placement Base × Field Weight × Competition-Level Weight × Event-Class Weight, rounded to the nearest whole Prestige point.</w:t>
      </w:r>
    </w:p>
    <w:p>
      <w:pPr>
        <w:pStyle w:val="ListBullet"/>
      </w:pPr>
      <w:r>
        <w:t>[LOCKED] A competition awards no Prestige unless at least 5 horses owned by at least 5 different owners compete in the class.</w:t>
      </w:r>
    </w:p>
    <w:p>
      <w:pPr>
        <w:pStyle w:val="ListBullet"/>
      </w:pPr>
      <w:r>
        <w:t>[LOCKED] Prestige unlocks recognition, qualification and special opportunities; it never directly increases competition score or genetic quality.</w:t>
      </w:r>
    </w:p>
    <w:p>
      <w:pPr>
        <w:pStyle w:val="Heading2"/>
        <w:keepNext/>
      </w:pPr>
      <w:r>
        <w:t>Competition ecosystem now explicitly preserved</w:t>
      </w:r>
    </w:p>
    <w:p>
      <w:pPr>
        <w:pStyle w:val="ListBullet"/>
      </w:pPr>
      <w:r>
        <w:t>[LOCKED/CURRENT] Equoria competition planning includes regular competitions, game-run seasonal events, qualifiers, championships, Prestige Invitationals, Registry Championships, and game-run Seasonal Championships / Major Events. These are intentional future event classes and must not be silently omitted or replaced.</w:t>
      </w:r>
    </w:p>
    <w:p>
      <w:pPr>
        <w:pStyle w:val="Heading2"/>
        <w:keepNext/>
      </w:pPr>
      <w:r>
        <w:t>Seven-day competitive preparation is intentional strategy</w:t>
      </w:r>
    </w:p>
    <w:p>
      <w:pPr>
        <w:pStyle w:val="ListBullet"/>
      </w:pPr>
      <w:r>
        <w:t>[LOCKED] Eligibility is validated when the horse enters. If the horse legitimately improves before the scheduled show runs, it remains entered even if its current competition level would now place it in a higher band.</w:t>
      </w:r>
    </w:p>
    <w:p>
      <w:pPr>
        <w:pStyle w:val="ListBullet"/>
      </w:pPr>
      <w:r>
        <w:t>[LOCKED] Shows resolve using the horse’s valid run-time state, including permitted training, care/feed effects, tack/equipment and banked stat allocations applied after entry. The competition retains the level/class under which the horse originally entered for Prestige calculation and historical records.</w:t>
      </w:r>
    </w:p>
    <w:p>
      <w:pPr>
        <w:pStyle w:val="ListBullet"/>
      </w:pPr>
      <w:r>
        <w:t>[DO-NOT-DRIFT] Do not “fix” this by revalidating and ejecting horses at run time. Post-entry development during the seven-day window is part of Equoria’s intended strategy loop.</w:t>
      </w:r>
    </w:p>
    <w:p>
      <w:pPr>
        <w:pStyle w:val="Heading2"/>
        <w:keepNext/>
      </w:pPr>
      <w:r>
        <w:t>Next design lock</w:t>
      </w:r>
    </w:p>
    <w:p>
      <w:pPr>
        <w:pStyle w:val="ListBullet"/>
      </w:pPr>
      <w:r>
        <w:t>[OPEN — NEXT] Balance the numerical Horse Prestige thresholds and one-time title/record bonuses against Equoria’s unlimited-per-type show-entry model. The Prestige rank names, résumé gates and Hall-of-Fame candidacy architecture are already locked.</w:t>
      </w:r>
    </w:p>
    <w:p>
      <w:pPr>
        <w:pStyle w:val="Heading1"/>
      </w:pPr>
      <w:r>
        <w:t>CANONICAL DECISION UPDATE — 9 OCTOBER 2026</w:t>
      </w:r>
    </w:p>
    <w:p>
      <w:pPr>
        <w:pStyle w:val="ListBullet"/>
      </w:pPr>
      <w:r>
        <w:t>[LOCKED] A horse may be active in up to three competition types/disciplines at once. The limit applies to types, not to individual show entries.</w:t>
      </w:r>
    </w:p>
    <w:p>
      <w:pPr>
        <w:pStyle w:val="ListBullet"/>
      </w:pPr>
      <w:r>
        <w:t>[LOCKED] Within those active competition types, a horse may enter any number of open shows for which it qualifies. There is no general per-horse show-entry cap.</w:t>
      </w:r>
    </w:p>
    <w:p>
      <w:pPr>
        <w:pStyle w:val="ListBullet"/>
      </w:pPr>
      <w:r>
        <w:t>[LOCKED] The seven-day strategy loop is preserved: eligibility at entry; accepted entries remain valid after later improvement; run-time state determines scoring while the entered competition class remains the historical/Prestige class.</w:t>
      </w:r>
    </w:p>
    <w:p>
      <w:pPr>
        <w:pStyle w:val="ListBullet"/>
      </w:pPr>
      <w:r>
        <w:t>[RESOLVED] Prestige credential rank names and résumé gates are locked. Numerical thresholds remain OPEN because they must be modeled for potentially very high legitimate show volume.</w:t>
      </w:r>
    </w:p>
    <w:p>
      <w:pPr>
        <w:pStyle w:val="ListBullet"/>
      </w:pPr>
      <w:r>
        <w:t>[DO-NOT-DRIFT] “Three competition types” must never be implemented or documented as “three competitions,” “three shows,” “three entries,” or “three slots.”</w:t>
      </w:r>
    </w:p>
    <w:sectPr w:rsidR="00FC693F" w:rsidRPr="0006063C" w:rsidSect="00034616">
      <w:footerReference w:type="default" r:id="rId9"/>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Equoria Reconstructed Design Bible • Canonical Pass V6 • 9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5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86B5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B99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B99047"/>
      <w:sz w:val="16"/>
    </w:rPr>
  </w:style>
  <w:style w:type="paragraph" w:customStyle="1" w:styleId="EquoriaCallout">
    <w:name w:val="Equoria Callout"/>
    <w:pPr>
      <w:spacing w:before="100" w:after="140"/>
      <w:ind w:left="288" w:right="144"/>
    </w:pPr>
    <w:rPr>
      <w:rFonts w:ascii="Aptos" w:hAnsi="Aptos"/>
      <w:color w:val="17233A"/>
      <w:sz w:val="21"/>
    </w:rPr>
  </w:style>
  <w:style w:type="paragraph" w:customStyle="1" w:styleId="DeepNote">
    <w:name w:val="Deep Note"/>
    <w:rPr>
      <w:rFonts w:ascii="Aptos" w:hAnsi="Aptos"/>
      <w:i/>
      <w:sz w:val="18"/>
    </w:rPr>
  </w:style>
  <w:style w:type="paragraph" w:customStyle="1" w:styleId="DeepSmall">
    <w:name w:val="Deep 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