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quoriaKicker"/>
      </w:pPr>
      <w:r>
        <w:t>EQUORIA DESIGN BIBLE  •  VOLUME 04 OF 23</w:t>
      </w:r>
    </w:p>
    <w:p>
      <w:pPr>
        <w:pStyle w:val="Title"/>
      </w:pPr>
      <w:r>
        <w:t>4. Navigation &amp; World Structure</w:t>
      </w:r>
    </w:p>
    <w:p>
      <w:pPr>
        <w:jc w:val="left"/>
        <w:pBdr>
          <w:bottom w:val="single" w:sz="12" w:space="1" w:color="B99047"/>
        </w:pBdr>
      </w:pPr>
      <w:r>
        <w:t>Recovered design intent • canonical updates through 8 October 2026</w:t>
      </w:r>
    </w:p>
    <w:tbl>
      <w:tblPr>
        <w:tblW w:type="auto" w:w="0"/>
        <w:jc w:val="center"/>
        <w:tblLayout w:type="autofit"/>
        <w:tblLook w:firstColumn="1" w:firstRow="1" w:lastColumn="0" w:lastRow="0" w:noHBand="0" w:noVBand="1" w:val="04A0"/>
      </w:tblPr>
      <w:tblGrid>
        <w:gridCol w:w="9994"/>
      </w:tblGrid>
      <w:tr>
        <w:trPr>
          <w:cantSplit/>
        </w:trPr>
        <w:tc>
          <w:tcPr>
            <w:tcW w:type="dxa" w:w="9994"/>
            <w:shd w:fill="F3F0E8"/>
            <w:tcMar>
              <w:top w:w="130" w:type="dxa"/>
              <w:start w:w="150" w:type="dxa"/>
              <w:bottom w:w="130" w:type="dxa"/>
              <w:end w:w="150" w:type="dxa"/>
            </w:tcMar>
          </w:tcPr>
          <w:p>
            <w:r>
              <w:rPr>
                <w:b/>
                <w:color w:val="17233A"/>
                <w:sz w:val="21"/>
              </w:rPr>
              <w:t>Purpose of this volume</w:t>
              <w:br/>
            </w:r>
            <w:r>
              <w:rPr>
                <w:color w:val="20252E"/>
                <w:sz w:val="19"/>
              </w:rPr>
              <w:t>Defines the current five-realm navigation, top HUD, exact World destinations, responsive interaction states and how older navigation tabs map into the current information architecture without losing features.</w:t>
            </w:r>
          </w:p>
        </w:tc>
      </w:tr>
    </w:tbl>
    <w:p/>
    <w:p>
      <w:pPr>
        <w:pStyle w:val="Heading1"/>
      </w:pPr>
      <w:r>
        <w:t>Canonical status snapshot</w:t>
      </w: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305F75"/>
            <w:tcMar>
              <w:top w:w="80" w:type="dxa"/>
              <w:start w:w="90" w:type="dxa"/>
              <w:bottom w:w="80" w:type="dxa"/>
              <w:end w:w="90" w:type="dxa"/>
            </w:tcMar>
            <w:vAlign w:val="center"/>
          </w:tcPr>
          <w:p>
            <w:pPr>
              <w:jc w:val="center"/>
            </w:pPr>
            <w:r>
              <w:rPr>
                <w:rFonts w:ascii="Aptos" w:hAnsi="Aptos"/>
                <w:b/>
                <w:color w:val="FFFFFF"/>
                <w:sz w:val="16"/>
              </w:rPr>
              <w:t>CURRENT</w:t>
            </w:r>
          </w:p>
        </w:tc>
        <w:tc>
          <w:tcPr>
            <w:tcW w:type="dxa" w:w="4997"/>
            <w:shd w:fill="F7F8FA"/>
            <w:tcMar>
              <w:top w:w="80" w:type="dxa"/>
              <w:start w:w="120" w:type="dxa"/>
              <w:bottom w:w="80" w:type="dxa"/>
              <w:end w:w="120" w:type="dxa"/>
            </w:tcMar>
            <w:vAlign w:val="center"/>
          </w:tcPr>
          <w:p>
            <w:r>
              <w:rPr>
                <w:rFonts w:ascii="Aptos" w:hAnsi="Aptos"/>
                <w:color w:val="20252E"/>
                <w:sz w:val="19"/>
              </w:rPr>
              <w:t>Five persistent realms and authored celestial/equestrian HUD.</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305F75"/>
            <w:tcMar>
              <w:top w:w="80" w:type="dxa"/>
              <w:start w:w="90" w:type="dxa"/>
              <w:bottom w:w="80" w:type="dxa"/>
              <w:end w:w="90" w:type="dxa"/>
            </w:tcMar>
            <w:vAlign w:val="center"/>
          </w:tcPr>
          <w:p>
            <w:pPr>
              <w:jc w:val="center"/>
            </w:pPr>
            <w:r>
              <w:rPr>
                <w:rFonts w:ascii="Aptos" w:hAnsi="Aptos"/>
                <w:b/>
                <w:color w:val="FFFFFF"/>
                <w:sz w:val="16"/>
              </w:rPr>
              <w:t>CURRENT</w:t>
            </w:r>
          </w:p>
        </w:tc>
        <w:tc>
          <w:tcPr>
            <w:tcW w:type="dxa" w:w="4997"/>
            <w:shd w:fill="F7F8FA"/>
            <w:tcMar>
              <w:top w:w="80" w:type="dxa"/>
              <w:start w:w="120" w:type="dxa"/>
              <w:bottom w:w="80" w:type="dxa"/>
              <w:end w:w="120" w:type="dxa"/>
            </w:tcMar>
            <w:vAlign w:val="center"/>
          </w:tcPr>
          <w:p>
            <w:r>
              <w:rPr>
                <w:rFonts w:ascii="Aptos" w:hAnsi="Aptos"/>
                <w:color w:val="20252E"/>
                <w:sz w:val="19"/>
              </w:rPr>
              <w:t>WORLD submenu with seven destinations in a defined order.</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715E31"/>
            <w:tcMar>
              <w:top w:w="80" w:type="dxa"/>
              <w:start w:w="90" w:type="dxa"/>
              <w:bottom w:w="80" w:type="dxa"/>
              <w:end w:w="90" w:type="dxa"/>
            </w:tcMar>
            <w:vAlign w:val="center"/>
          </w:tcPr>
          <w:p>
            <w:pPr>
              <w:jc w:val="center"/>
            </w:pPr>
            <w:r>
              <w:rPr>
                <w:rFonts w:ascii="Aptos" w:hAnsi="Aptos"/>
                <w:b/>
                <w:color w:val="FFFFFF"/>
                <w:sz w:val="16"/>
              </w:rPr>
              <w:t>PLANNED</w:t>
            </w:r>
          </w:p>
        </w:tc>
        <w:tc>
          <w:tcPr>
            <w:tcW w:type="dxa" w:w="4997"/>
            <w:shd w:fill="F7F8FA"/>
            <w:tcMar>
              <w:top w:w="80" w:type="dxa"/>
              <w:start w:w="120" w:type="dxa"/>
              <w:bottom w:w="80" w:type="dxa"/>
              <w:end w:w="120" w:type="dxa"/>
            </w:tcMar>
            <w:vAlign w:val="center"/>
          </w:tcPr>
          <w:p>
            <w:r>
              <w:rPr>
                <w:rFonts w:ascii="Aptos" w:hAnsi="Aptos"/>
                <w:color w:val="20252E"/>
                <w:sz w:val="19"/>
              </w:rPr>
              <w:t>Cross-entity search retained as capability.</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8A4A4A"/>
            <w:tcMar>
              <w:top w:w="80" w:type="dxa"/>
              <w:start w:w="90" w:type="dxa"/>
              <w:bottom w:w="80" w:type="dxa"/>
              <w:end w:w="90" w:type="dxa"/>
            </w:tcMar>
            <w:vAlign w:val="center"/>
          </w:tcPr>
          <w:p>
            <w:pPr>
              <w:jc w:val="center"/>
            </w:pPr>
            <w:r>
              <w:rPr>
                <w:rFonts w:ascii="Aptos" w:hAnsi="Aptos"/>
                <w:b/>
                <w:color w:val="FFFFFF"/>
                <w:sz w:val="16"/>
              </w:rPr>
              <w:t>SUPERSEDED</w:t>
            </w:r>
          </w:p>
        </w:tc>
        <w:tc>
          <w:tcPr>
            <w:tcW w:type="dxa" w:w="4997"/>
            <w:shd w:fill="F7F8FA"/>
            <w:tcMar>
              <w:top w:w="80" w:type="dxa"/>
              <w:start w:w="120" w:type="dxa"/>
              <w:bottom w:w="80" w:type="dxa"/>
              <w:end w:w="120" w:type="dxa"/>
            </w:tcMar>
            <w:vAlign w:val="center"/>
          </w:tcPr>
          <w:p>
            <w:r>
              <w:rPr>
                <w:rFonts w:ascii="Aptos" w:hAnsi="Aptos"/>
                <w:color w:val="20252E"/>
                <w:sz w:val="19"/>
              </w:rPr>
              <w:t>Old dashboard/tab/side-menu shells.</w:t>
            </w:r>
          </w:p>
        </w:tc>
      </w:tr>
    </w:tbl>
    <w:p>
      <w:pPr>
        <w:spacing w:after="0"/>
      </w:pPr>
    </w:p>
    <w:p>
      <w:pPr>
        <w:pStyle w:val="Heading1"/>
      </w:pPr>
      <w:r>
        <w:t>Current persistent realm navigation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17233A"/>
            <w:tcMar>
              <w:top w:w="80" w:type="dxa"/>
              <w:start w:w="90" w:type="dxa"/>
              <w:bottom w:w="80" w:type="dxa"/>
              <w:end w:w="90" w:type="dxa"/>
            </w:tcMar>
          </w:tcPr>
          <w:p>
            <w:r>
              <w:rPr>
                <w:b/>
                <w:color w:val="FFFFFF"/>
                <w:sz w:val="17"/>
              </w:rPr>
              <w:t>Realm</w:t>
            </w:r>
          </w:p>
        </w:tc>
        <w:tc>
          <w:tcPr>
            <w:tcW w:type="dxa" w:w="3168"/>
            <w:shd w:fill="17233A"/>
            <w:tcMar>
              <w:top w:w="80" w:type="dxa"/>
              <w:start w:w="90" w:type="dxa"/>
              <w:bottom w:w="80" w:type="dxa"/>
              <w:end w:w="90" w:type="dxa"/>
            </w:tcMar>
          </w:tcPr>
          <w:p>
            <w:r>
              <w:rPr>
                <w:b/>
                <w:color w:val="FFFFFF"/>
                <w:sz w:val="17"/>
              </w:rPr>
              <w:t>Primary purpose</w:t>
            </w:r>
          </w:p>
        </w:tc>
        <w:tc>
          <w:tcPr>
            <w:tcW w:type="dxa" w:w="5472"/>
            <w:shd w:fill="17233A"/>
            <w:tcMar>
              <w:top w:w="80" w:type="dxa"/>
              <w:start w:w="90" w:type="dxa"/>
              <w:bottom w:w="80" w:type="dxa"/>
              <w:end w:w="90" w:type="dxa"/>
            </w:tcMar>
          </w:tcPr>
          <w:p>
            <w:r>
              <w:rPr>
                <w:b/>
                <w:color w:val="FFFFFF"/>
                <w:sz w:val="17"/>
              </w:rPr>
              <w:t>Examples of surfaces beneath it</w:t>
            </w:r>
          </w:p>
        </w:tc>
      </w:tr>
      <w:tr>
        <w:trPr>
          <w:cantSplit/>
        </w:trPr>
        <w:tc>
          <w:tcPr>
            <w:tcW w:type="dxa" w:w="1728"/>
            <w:tcMar>
              <w:top w:w="70" w:type="dxa"/>
              <w:start w:w="90" w:type="dxa"/>
              <w:bottom w:w="70" w:type="dxa"/>
              <w:end w:w="90" w:type="dxa"/>
            </w:tcMar>
          </w:tcPr>
          <w:p>
            <w:r>
              <w:rPr>
                <w:color w:val="20252E"/>
                <w:sz w:val="17"/>
              </w:rPr>
              <w:t>HOME</w:t>
            </w:r>
          </w:p>
        </w:tc>
        <w:tc>
          <w:tcPr>
            <w:tcW w:type="dxa" w:w="3168"/>
            <w:tcMar>
              <w:top w:w="70" w:type="dxa"/>
              <w:start w:w="90" w:type="dxa"/>
              <w:bottom w:w="70" w:type="dxa"/>
              <w:end w:w="90" w:type="dxa"/>
            </w:tcMar>
          </w:tcPr>
          <w:p>
            <w:r>
              <w:rPr>
                <w:color w:val="20252E"/>
                <w:sz w:val="17"/>
              </w:rPr>
              <w:t>Player stable/home base and owned-horse management</w:t>
            </w:r>
          </w:p>
        </w:tc>
        <w:tc>
          <w:tcPr>
            <w:tcW w:type="dxa" w:w="5472"/>
            <w:tcMar>
              <w:top w:w="70" w:type="dxa"/>
              <w:start w:w="90" w:type="dxa"/>
              <w:bottom w:w="70" w:type="dxa"/>
              <w:end w:w="90" w:type="dxa"/>
            </w:tcMar>
          </w:tcPr>
          <w:p>
            <w:r>
              <w:rPr>
                <w:color w:val="20252E"/>
                <w:sz w:val="17"/>
              </w:rPr>
              <w:t>Stable Home, roster, ledger, horse profiles, care/status, staff access, stable history.</w:t>
            </w:r>
          </w:p>
        </w:tc>
      </w:tr>
      <w:tr>
        <w:trPr>
          <w:cantSplit/>
        </w:trPr>
        <w:tc>
          <w:tcPr>
            <w:tcW w:type="dxa" w:w="1728"/>
            <w:shd w:fill="F7F8FA"/>
            <w:tcMar>
              <w:top w:w="70" w:type="dxa"/>
              <w:start w:w="90" w:type="dxa"/>
              <w:bottom w:w="70" w:type="dxa"/>
              <w:end w:w="90" w:type="dxa"/>
            </w:tcMar>
          </w:tcPr>
          <w:p>
            <w:r>
              <w:rPr>
                <w:color w:val="20252E"/>
                <w:sz w:val="17"/>
              </w:rPr>
              <w:t>WORLD</w:t>
            </w:r>
          </w:p>
        </w:tc>
        <w:tc>
          <w:tcPr>
            <w:tcW w:type="dxa" w:w="3168"/>
            <w:shd w:fill="F7F8FA"/>
            <w:tcMar>
              <w:top w:w="70" w:type="dxa"/>
              <w:start w:w="90" w:type="dxa"/>
              <w:bottom w:w="70" w:type="dxa"/>
              <w:end w:w="90" w:type="dxa"/>
            </w:tcMar>
          </w:tcPr>
          <w:p>
            <w:r>
              <w:rPr>
                <w:color w:val="20252E"/>
                <w:sz w:val="17"/>
              </w:rPr>
              <w:t>NPC services and place-based game world</w:t>
            </w:r>
          </w:p>
        </w:tc>
        <w:tc>
          <w:tcPr>
            <w:tcW w:type="dxa" w:w="5472"/>
            <w:shd w:fill="F7F8FA"/>
            <w:tcMar>
              <w:top w:w="70" w:type="dxa"/>
              <w:start w:w="90" w:type="dxa"/>
              <w:bottom w:w="70" w:type="dxa"/>
              <w:end w:w="90" w:type="dxa"/>
            </w:tcMar>
          </w:tcPr>
          <w:p>
            <w:r>
              <w:rPr>
                <w:color w:val="20252E"/>
                <w:sz w:val="17"/>
              </w:rPr>
              <w:t>Equoria Town, Veterinarian, Feed Shop, Tack Shop, Training Center, Breeding Specialist, Leathersmith.</w:t>
            </w:r>
          </w:p>
        </w:tc>
      </w:tr>
      <w:tr>
        <w:trPr>
          <w:cantSplit/>
        </w:trPr>
        <w:tc>
          <w:tcPr>
            <w:tcW w:type="dxa" w:w="1728"/>
            <w:tcMar>
              <w:top w:w="70" w:type="dxa"/>
              <w:start w:w="90" w:type="dxa"/>
              <w:bottom w:w="70" w:type="dxa"/>
              <w:end w:w="90" w:type="dxa"/>
            </w:tcMar>
          </w:tcPr>
          <w:p>
            <w:r>
              <w:rPr>
                <w:color w:val="20252E"/>
                <w:sz w:val="17"/>
              </w:rPr>
              <w:t>COMMUNITY</w:t>
            </w:r>
          </w:p>
        </w:tc>
        <w:tc>
          <w:tcPr>
            <w:tcW w:type="dxa" w:w="3168"/>
            <w:tcMar>
              <w:top w:w="70" w:type="dxa"/>
              <w:start w:w="90" w:type="dxa"/>
              <w:bottom w:w="70" w:type="dxa"/>
              <w:end w:w="90" w:type="dxa"/>
            </w:tcMar>
          </w:tcPr>
          <w:p>
            <w:r>
              <w:rPr>
                <w:color w:val="20252E"/>
                <w:sz w:val="17"/>
              </w:rPr>
              <w:t>Players and organizations</w:t>
            </w:r>
          </w:p>
        </w:tc>
        <w:tc>
          <w:tcPr>
            <w:tcW w:type="dxa" w:w="5472"/>
            <w:tcMar>
              <w:top w:w="70" w:type="dxa"/>
              <w:start w:w="90" w:type="dxa"/>
              <w:bottom w:w="70" w:type="dxa"/>
              <w:end w:w="90" w:type="dxa"/>
            </w:tcMar>
          </w:tcPr>
          <w:p>
            <w:r>
              <w:rPr>
                <w:color w:val="20252E"/>
                <w:sz w:val="17"/>
              </w:rPr>
              <w:t>Profiles, clubs/guilds, forums, chat/PM, leaderboards, breed associations.</w:t>
            </w:r>
          </w:p>
        </w:tc>
      </w:tr>
      <w:tr>
        <w:trPr>
          <w:cantSplit/>
        </w:trPr>
        <w:tc>
          <w:tcPr>
            <w:tcW w:type="dxa" w:w="1728"/>
            <w:shd w:fill="F7F8FA"/>
            <w:tcMar>
              <w:top w:w="70" w:type="dxa"/>
              <w:start w:w="90" w:type="dxa"/>
              <w:bottom w:w="70" w:type="dxa"/>
              <w:end w:w="90" w:type="dxa"/>
            </w:tcMar>
          </w:tcPr>
          <w:p>
            <w:r>
              <w:rPr>
                <w:color w:val="20252E"/>
                <w:sz w:val="17"/>
              </w:rPr>
              <w:t>MARKETPLACE</w:t>
            </w:r>
          </w:p>
        </w:tc>
        <w:tc>
          <w:tcPr>
            <w:tcW w:type="dxa" w:w="3168"/>
            <w:shd w:fill="F7F8FA"/>
            <w:tcMar>
              <w:top w:w="70" w:type="dxa"/>
              <w:start w:w="90" w:type="dxa"/>
              <w:bottom w:w="70" w:type="dxa"/>
              <w:end w:w="90" w:type="dxa"/>
            </w:tcMar>
          </w:tcPr>
          <w:p>
            <w:r>
              <w:rPr>
                <w:color w:val="20252E"/>
                <w:sz w:val="17"/>
              </w:rPr>
              <w:t>Player/NPC commerce</w:t>
            </w:r>
          </w:p>
        </w:tc>
        <w:tc>
          <w:tcPr>
            <w:tcW w:type="dxa" w:w="5472"/>
            <w:shd w:fill="F7F8FA"/>
            <w:tcMar>
              <w:top w:w="70" w:type="dxa"/>
              <w:start w:w="90" w:type="dxa"/>
              <w:bottom w:w="70" w:type="dxa"/>
              <w:end w:w="90" w:type="dxa"/>
            </w:tcMar>
          </w:tcPr>
          <w:p>
            <w:r>
              <w:rPr>
                <w:color w:val="20252E"/>
                <w:sz w:val="17"/>
              </w:rPr>
              <w:t>Horse listings/auctions, items/resources, studs/breeding offers, trainers-for-hire where appropriate.</w:t>
            </w:r>
          </w:p>
        </w:tc>
      </w:tr>
      <w:tr>
        <w:trPr>
          <w:cantSplit/>
        </w:trPr>
        <w:tc>
          <w:tcPr>
            <w:tcW w:type="dxa" w:w="1728"/>
            <w:tcMar>
              <w:top w:w="70" w:type="dxa"/>
              <w:start w:w="90" w:type="dxa"/>
              <w:bottom w:w="70" w:type="dxa"/>
              <w:end w:w="90" w:type="dxa"/>
            </w:tcMar>
          </w:tcPr>
          <w:p>
            <w:r>
              <w:rPr>
                <w:color w:val="20252E"/>
                <w:sz w:val="17"/>
              </w:rPr>
              <w:t>COMPETE</w:t>
            </w:r>
          </w:p>
        </w:tc>
        <w:tc>
          <w:tcPr>
            <w:tcW w:type="dxa" w:w="3168"/>
            <w:tcMar>
              <w:top w:w="70" w:type="dxa"/>
              <w:start w:w="90" w:type="dxa"/>
              <w:bottom w:w="70" w:type="dxa"/>
              <w:end w:w="90" w:type="dxa"/>
            </w:tcMar>
          </w:tcPr>
          <w:p>
            <w:r>
              <w:rPr>
                <w:color w:val="20252E"/>
                <w:sz w:val="17"/>
              </w:rPr>
              <w:t>Shows and competitive record</w:t>
            </w:r>
          </w:p>
        </w:tc>
        <w:tc>
          <w:tcPr>
            <w:tcW w:type="dxa" w:w="5472"/>
            <w:tcMar>
              <w:top w:w="70" w:type="dxa"/>
              <w:start w:w="90" w:type="dxa"/>
              <w:bottom w:w="70" w:type="dxa"/>
              <w:end w:w="90" w:type="dxa"/>
            </w:tcMar>
          </w:tcPr>
          <w:p>
            <w:r>
              <w:rPr>
                <w:color w:val="20252E"/>
                <w:sz w:val="17"/>
              </w:rPr>
              <w:t>Search shows, enter, create/host, results, special Cups, conformation/parades, rankings.</w:t>
            </w:r>
          </w:p>
        </w:tc>
      </w:tr>
    </w:tbl>
    <w:p/>
    <w:p>
      <w:pPr>
        <w:pStyle w:val="Heading1"/>
      </w:pPr>
      <w:r>
        <w:t>Top HUD</w:t>
      </w:r>
    </w:p>
    <w:p>
      <w:pPr>
        <w:pStyle w:val="ListBullet"/>
        <w:spacing w:after="60"/>
      </w:pPr>
      <w:r>
        <w:t>Currency balance with access to Bank (and a “+” affordance in the current style sheet).</w:t>
      </w:r>
    </w:p>
    <w:p>
      <w:pPr>
        <w:pStyle w:val="ListBullet"/>
        <w:spacing w:after="60"/>
      </w:pPr>
      <w:r>
        <w:t>Centered EQUORIA wordmark is branding, not a mystery navigation button.</w:t>
      </w:r>
    </w:p>
    <w:p>
      <w:pPr>
        <w:pStyle w:val="ListBullet"/>
        <w:spacing w:after="60"/>
      </w:pPr>
      <w:r>
        <w:t>Notifications/unread state.</w:t>
      </w:r>
    </w:p>
    <w:p>
      <w:pPr>
        <w:pStyle w:val="ListBullet"/>
        <w:spacing w:after="60"/>
      </w:pPr>
      <w:r>
        <w:t>Settings.</w:t>
      </w:r>
    </w:p>
    <w:p>
      <w:pPr>
        <w:pStyle w:val="ListBullet"/>
        <w:spacing w:after="60"/>
      </w:pPr>
      <w:r>
        <w:t>Logout.</w:t>
      </w:r>
    </w:p>
    <w:p>
      <w:pPr>
        <w:pStyle w:val="ListBullet"/>
        <w:spacing w:after="60"/>
      </w:pPr>
      <w:r>
        <w:t>One approved shell exploration also included a CHRONICLE-style plate; treat naming/placement as UI refinement, not a new realm.</w:t>
      </w:r>
    </w:p>
    <w:p>
      <w:pPr>
        <w:pStyle w:val="Heading1"/>
      </w:pPr>
      <w:r>
        <w:t>WORLD submenu — exact recovered order</w:t>
      </w:r>
    </w:p>
    <w:p>
      <w:pPr>
        <w:pStyle w:val="ListNumber"/>
        <w:spacing w:after="60"/>
      </w:pPr>
      <w:r>
        <w:t>Equoria Town — “Shops, services, and more.”</w:t>
      </w:r>
    </w:p>
    <w:p>
      <w:pPr>
        <w:pStyle w:val="ListNumber"/>
        <w:spacing w:after="60"/>
      </w:pPr>
      <w:r>
        <w:t>Veterinarian — “Keep them healthy.”</w:t>
      </w:r>
    </w:p>
    <w:p>
      <w:pPr>
        <w:pStyle w:val="ListNumber"/>
        <w:spacing w:after="60"/>
      </w:pPr>
      <w:r>
        <w:t>Feed Shop — “Nutrition for every need.”</w:t>
      </w:r>
    </w:p>
    <w:p>
      <w:pPr>
        <w:pStyle w:val="ListNumber"/>
        <w:spacing w:after="60"/>
      </w:pPr>
      <w:r>
        <w:t>Tack Shop — “Quality for the journey.”</w:t>
      </w:r>
    </w:p>
    <w:p>
      <w:pPr>
        <w:pStyle w:val="ListNumber"/>
        <w:spacing w:after="60"/>
      </w:pPr>
      <w:r>
        <w:t>Training Center — “Build their potential.”</w:t>
      </w:r>
    </w:p>
    <w:p>
      <w:pPr>
        <w:pStyle w:val="ListNumber"/>
        <w:spacing w:after="60"/>
      </w:pPr>
      <w:r>
        <w:t>Breeding Specialist — “Plan the next generation.”</w:t>
      </w:r>
    </w:p>
    <w:p>
      <w:pPr>
        <w:pStyle w:val="ListNumber"/>
        <w:spacing w:after="60"/>
      </w:pPr>
      <w:r>
        <w:t>Leathersmith — “Custom tack and more.”</w:t>
      </w:r>
    </w:p>
    <w:p>
      <w:pPr>
        <w:pStyle w:val="Heading1"/>
      </w:pPr>
      <w:r>
        <w:t>World-menu behavior</w:t>
      </w:r>
    </w:p>
    <w:p>
      <w:pPr>
        <w:pStyle w:val="ListBullet"/>
        <w:spacing w:after="60"/>
      </w:pPr>
      <w:r>
        <w:t>The submenu rises from/attaches to the WORLD realm ribbon instead of becoming a permanent second navigation row.</w:t>
      </w:r>
    </w:p>
    <w:p>
      <w:pPr>
        <w:pStyle w:val="ListBullet"/>
        <w:spacing w:after="60"/>
      </w:pPr>
      <w:r>
        <w:t>Do not turn it into a generic left sidebar/drawer on desktop unless intentionally redesigning the shell.</w:t>
      </w:r>
    </w:p>
    <w:p>
      <w:pPr>
        <w:pStyle w:val="ListBullet"/>
        <w:spacing w:after="60"/>
      </w:pPr>
      <w:r>
        <w:t>On mobile, the approved approach keeps all destinations visible in a two-column/four-row arrangement rather than burying half of them behind “More.”</w:t>
      </w:r>
    </w:p>
    <w:p>
      <w:pPr>
        <w:pStyle w:val="ListBullet"/>
        <w:spacing w:after="60"/>
      </w:pPr>
      <w:r>
        <w:t>All five realm labels remain visible on mobile; icons alone are not the navigation.</w:t>
      </w:r>
    </w:p>
    <w:p>
      <w:pPr>
        <w:pStyle w:val="ListBullet"/>
        <w:spacing w:after="60"/>
      </w:pPr>
      <w:r>
        <w:t>Training Center is a world service/location and is explicitly distinct from Marketplace “Trainers for Hire.”</w:t>
      </w:r>
    </w:p>
    <w:p>
      <w:pPr>
        <w:pStyle w:val="Heading1"/>
      </w:pPr>
      <w:r>
        <w:t>Required interaction states</w:t>
      </w:r>
    </w:p>
    <w:p>
      <w:pPr>
        <w:pStyle w:val="ListBullet"/>
        <w:spacing w:after="60"/>
      </w:pPr>
      <w:r>
        <w:t>Resting/default.</w:t>
      </w:r>
    </w:p>
    <w:p>
      <w:pPr>
        <w:pStyle w:val="ListBullet"/>
        <w:spacing w:after="60"/>
      </w:pPr>
      <w:r>
        <w:t>Hover where pointer exists.</w:t>
      </w:r>
    </w:p>
    <w:p>
      <w:pPr>
        <w:pStyle w:val="ListBullet"/>
        <w:spacing w:after="60"/>
      </w:pPr>
      <w:r>
        <w:t>Keyboard focus with visible focus treatment.</w:t>
      </w:r>
    </w:p>
    <w:p>
      <w:pPr>
        <w:pStyle w:val="ListBullet"/>
        <w:spacing w:after="60"/>
      </w:pPr>
      <w:r>
        <w:t>Selected/current realm.</w:t>
      </w:r>
    </w:p>
    <w:p>
      <w:pPr>
        <w:pStyle w:val="ListBullet"/>
        <w:spacing w:after="60"/>
      </w:pPr>
      <w:r>
        <w:t>Pressed/active.</w:t>
      </w:r>
    </w:p>
    <w:p>
      <w:pPr>
        <w:pStyle w:val="ListBullet"/>
        <w:spacing w:after="60"/>
      </w:pPr>
      <w:r>
        <w:t>Unread/notification state for relevant HUD items.</w:t>
      </w:r>
    </w:p>
    <w:p>
      <w:pPr>
        <w:pStyle w:val="ListBullet"/>
        <w:spacing w:after="60"/>
      </w:pPr>
      <w:r>
        <w:t>These states should use authored material/illumination/depth rather than only changing a generic button fill color.</w:t>
      </w:r>
    </w:p>
    <w:p>
      <w:pPr>
        <w:pStyle w:val="Heading1"/>
      </w:pPr>
      <w:r>
        <w:t>Global search</w:t>
      </w:r>
    </w:p>
    <w:p>
      <w:r>
        <w:t>Search was a top-level tab in the original information architecture and repeatedly specified for horses, players and market items. The current five-realm shell no longer needs Search as one of the five primary realms, but the capability itself remains planned.</w:t>
      </w:r>
    </w:p>
    <w:p>
      <w:r>
        <w:t>The design should offer fast cross-entity search from an appropriate utility/surface, then route the result into the canonical Horse Profile, Player Profile or Marketplace listing rather than creating duplicate record views.</w:t>
      </w:r>
    </w:p>
    <w:p>
      <w:pPr>
        <w:pStyle w:val="Heading1"/>
      </w:pPr>
      <w:r>
        <w:t>Historical navigation and how to preserve its features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456"/>
            <w:shd w:fill="17233A"/>
            <w:tcMar>
              <w:top w:w="80" w:type="dxa"/>
              <w:start w:w="90" w:type="dxa"/>
              <w:bottom w:w="80" w:type="dxa"/>
              <w:end w:w="90" w:type="dxa"/>
            </w:tcMar>
          </w:tcPr>
          <w:p>
            <w:r>
              <w:rPr>
                <w:b/>
                <w:color w:val="FFFFFF"/>
                <w:sz w:val="17"/>
              </w:rPr>
              <w:t>Historical shell</w:t>
            </w:r>
          </w:p>
        </w:tc>
        <w:tc>
          <w:tcPr>
            <w:tcW w:type="dxa" w:w="4320"/>
            <w:shd w:fill="17233A"/>
            <w:tcMar>
              <w:top w:w="80" w:type="dxa"/>
              <w:start w:w="90" w:type="dxa"/>
              <w:bottom w:w="80" w:type="dxa"/>
              <w:end w:w="90" w:type="dxa"/>
            </w:tcMar>
          </w:tcPr>
          <w:p>
            <w:r>
              <w:rPr>
                <w:b/>
                <w:color w:val="FFFFFF"/>
                <w:sz w:val="17"/>
              </w:rPr>
              <w:t>What survives</w:t>
            </w:r>
          </w:p>
        </w:tc>
        <w:tc>
          <w:tcPr>
            <w:tcW w:type="dxa" w:w="2592"/>
            <w:shd w:fill="17233A"/>
            <w:tcMar>
              <w:top w:w="80" w:type="dxa"/>
              <w:start w:w="90" w:type="dxa"/>
              <w:bottom w:w="80" w:type="dxa"/>
              <w:end w:w="90" w:type="dxa"/>
            </w:tcMar>
          </w:tcPr>
          <w:p>
            <w:r>
              <w:rPr>
                <w:b/>
                <w:color w:val="FFFFFF"/>
                <w:sz w:val="17"/>
              </w:rPr>
              <w:t>What does not</w:t>
            </w:r>
          </w:p>
        </w:tc>
      </w:tr>
      <w:tr>
        <w:trPr>
          <w:cantSplit/>
        </w:trPr>
        <w:tc>
          <w:tcPr>
            <w:tcW w:type="dxa" w:w="3456"/>
            <w:tcMar>
              <w:top w:w="70" w:type="dxa"/>
              <w:start w:w="90" w:type="dxa"/>
              <w:bottom w:w="70" w:type="dxa"/>
              <w:end w:w="90" w:type="dxa"/>
            </w:tcMar>
          </w:tcPr>
          <w:p>
            <w:r>
              <w:rPr>
                <w:color w:val="20252E"/>
                <w:sz w:val="17"/>
              </w:rPr>
              <w:t>Dashboard / Stable / World / Competitions / Search / Chat / Forums / Settings</w:t>
            </w:r>
          </w:p>
        </w:tc>
        <w:tc>
          <w:tcPr>
            <w:tcW w:type="dxa" w:w="4320"/>
            <w:tcMar>
              <w:top w:w="70" w:type="dxa"/>
              <w:start w:w="90" w:type="dxa"/>
              <w:bottom w:w="70" w:type="dxa"/>
              <w:end w:w="90" w:type="dxa"/>
            </w:tcMar>
          </w:tcPr>
          <w:p>
            <w:r>
              <w:rPr>
                <w:color w:val="20252E"/>
                <w:sz w:val="17"/>
              </w:rPr>
              <w:t>All functional surfaces remap beneath HOME, WORLD, COMMUNITY, MARKETPLACE, COMPETE and utilities.</w:t>
            </w:r>
          </w:p>
        </w:tc>
        <w:tc>
          <w:tcPr>
            <w:tcW w:type="dxa" w:w="2592"/>
            <w:tcMar>
              <w:top w:w="70" w:type="dxa"/>
              <w:start w:w="90" w:type="dxa"/>
              <w:bottom w:w="70" w:type="dxa"/>
              <w:end w:w="90" w:type="dxa"/>
            </w:tcMar>
          </w:tcPr>
          <w:p>
            <w:r>
              <w:rPr>
                <w:color w:val="20252E"/>
                <w:sz w:val="17"/>
              </w:rPr>
              <w:t>Eight-tab mobile shell is superseded.</w:t>
            </w:r>
          </w:p>
        </w:tc>
      </w:tr>
      <w:tr>
        <w:trPr>
          <w:cantSplit/>
        </w:trPr>
        <w:tc>
          <w:tcPr>
            <w:tcW w:type="dxa" w:w="3456"/>
            <w:shd w:fill="F7F8FA"/>
            <w:tcMar>
              <w:top w:w="70" w:type="dxa"/>
              <w:start w:w="90" w:type="dxa"/>
              <w:bottom w:w="70" w:type="dxa"/>
              <w:end w:w="90" w:type="dxa"/>
            </w:tcMar>
          </w:tcPr>
          <w:p>
            <w:r>
              <w:rPr>
                <w:color w:val="20252E"/>
                <w:sz w:val="17"/>
              </w:rPr>
              <w:t>Goldleaf side navigation: Stable, World, Compete, Search, Forums, Settings, Support, Logout</w:t>
            </w:r>
          </w:p>
        </w:tc>
        <w:tc>
          <w:tcPr>
            <w:tcW w:type="dxa" w:w="4320"/>
            <w:shd w:fill="F7F8FA"/>
            <w:tcMar>
              <w:top w:w="70" w:type="dxa"/>
              <w:start w:w="90" w:type="dxa"/>
              <w:bottom w:w="70" w:type="dxa"/>
              <w:end w:w="90" w:type="dxa"/>
            </w:tcMar>
          </w:tcPr>
          <w:p>
            <w:r>
              <w:rPr>
                <w:color w:val="20252E"/>
                <w:sz w:val="17"/>
              </w:rPr>
              <w:t>Feature destinations still matter.</w:t>
            </w:r>
          </w:p>
        </w:tc>
        <w:tc>
          <w:tcPr>
            <w:tcW w:type="dxa" w:w="2592"/>
            <w:shd w:fill="F7F8FA"/>
            <w:tcMar>
              <w:top w:w="70" w:type="dxa"/>
              <w:start w:w="90" w:type="dxa"/>
              <w:bottom w:w="70" w:type="dxa"/>
              <w:end w:w="90" w:type="dxa"/>
            </w:tcMar>
          </w:tcPr>
          <w:p>
            <w:r>
              <w:rPr>
                <w:color w:val="20252E"/>
                <w:sz w:val="17"/>
              </w:rPr>
              <w:t>Permanent side-menu hierarchy and visual theme are superseded.</w:t>
            </w:r>
          </w:p>
        </w:tc>
      </w:tr>
      <w:tr>
        <w:trPr>
          <w:cantSplit/>
        </w:trPr>
        <w:tc>
          <w:tcPr>
            <w:tcW w:type="dxa" w:w="3456"/>
            <w:tcMar>
              <w:top w:w="70" w:type="dxa"/>
              <w:start w:w="90" w:type="dxa"/>
              <w:bottom w:w="70" w:type="dxa"/>
              <w:end w:w="90" w:type="dxa"/>
            </w:tcMar>
          </w:tcPr>
          <w:p>
            <w:r>
              <w:rPr>
                <w:color w:val="20252E"/>
                <w:sz w:val="17"/>
              </w:rPr>
              <w:t>Bottom nav variants with “More”</w:t>
            </w:r>
          </w:p>
        </w:tc>
        <w:tc>
          <w:tcPr>
            <w:tcW w:type="dxa" w:w="4320"/>
            <w:tcMar>
              <w:top w:w="70" w:type="dxa"/>
              <w:start w:w="90" w:type="dxa"/>
              <w:bottom w:w="70" w:type="dxa"/>
              <w:end w:w="90" w:type="dxa"/>
            </w:tcMar>
          </w:tcPr>
          <w:p>
            <w:r>
              <w:rPr>
                <w:color w:val="20252E"/>
                <w:sz w:val="17"/>
              </w:rPr>
              <w:t>Compact navigation lessons may inform responsive behavior.</w:t>
            </w:r>
          </w:p>
        </w:tc>
        <w:tc>
          <w:tcPr>
            <w:tcW w:type="dxa" w:w="2592"/>
            <w:tcMar>
              <w:top w:w="70" w:type="dxa"/>
              <w:start w:w="90" w:type="dxa"/>
              <w:bottom w:w="70" w:type="dxa"/>
              <w:end w:w="90" w:type="dxa"/>
            </w:tcMar>
          </w:tcPr>
          <w:p>
            <w:r>
              <w:rPr>
                <w:color w:val="20252E"/>
                <w:sz w:val="17"/>
              </w:rPr>
              <w:t>Do not hide core current realms behind More.</w:t>
            </w:r>
          </w:p>
        </w:tc>
      </w:tr>
    </w:tbl>
    <w:p/>
    <w:p>
      <w:pPr>
        <w:pStyle w:val="Heading1"/>
      </w:pPr>
      <w:r>
        <w:t>Responsive philosophy</w:t>
      </w:r>
    </w:p>
    <w:p>
      <w:pPr>
        <w:pStyle w:val="ListBullet"/>
        <w:spacing w:after="60"/>
      </w:pPr>
      <w:r>
        <w:t>Phone: focused task presentation, bottom/realm navigation, full labels, touch-safe controls and modal/bottom-sheet filters only when appropriate.</w:t>
      </w:r>
    </w:p>
    <w:p>
      <w:pPr>
        <w:pStyle w:val="ListBullet"/>
        <w:spacing w:after="60"/>
      </w:pPr>
      <w:r>
        <w:t>Tablet: richer side-by-side context without changing game rules.</w:t>
      </w:r>
    </w:p>
    <w:p>
      <w:pPr>
        <w:pStyle w:val="ListBullet"/>
        <w:spacing w:after="60"/>
      </w:pPr>
      <w:r>
        <w:t>Desktop: simultaneous scene/context plus management information where useful; do not stretch mobile cards into a giant grid.</w:t>
      </w:r>
    </w:p>
    <w:p>
      <w:pPr>
        <w:pStyle w:val="ListBullet"/>
        <w:spacing w:after="60"/>
      </w:pPr>
      <w:r>
        <w:t>Current minimum touch target is 44×44 px; older design guidance recommended 48 px. Use the larger target where layout permits.</w:t>
      </w:r>
    </w:p>
    <w:p>
      <w:pPr>
        <w:pStyle w:val="ListBullet"/>
        <w:spacing w:after="60"/>
      </w:pPr>
      <w:r>
        <w:t>Breadcrumbs were an older idea for deep flows; use only where they aid browser navigation and do not compete with the realm model.</w:t>
      </w:r>
    </w:p>
    <w:p>
      <w:pPr>
        <w:pStyle w:val="Heading1"/>
      </w:pPr>
      <w:r>
        <w:t>Do-not-drift guardrails</w:t>
      </w:r>
    </w:p>
    <w:tbl>
      <w:tblPr>
        <w:tblW w:type="auto" w:w="0"/>
        <w:jc w:val="center"/>
        <w:tblLayout w:type="autofit"/>
        <w:tblLook w:firstColumn="1" w:firstRow="1" w:lastColumn="0" w:lastRow="0" w:noHBand="0" w:noVBand="1" w:val="04A0"/>
      </w:tblPr>
      <w:tblGrid>
        <w:gridCol w:w="9994"/>
      </w:tblGrid>
      <w:tr>
        <w:trPr>
          <w:cantSplit/>
        </w:trPr>
        <w:tc>
          <w:tcPr>
            <w:tcW w:type="dxa" w:w="9994"/>
            <w:shd w:fill="FBEFEF"/>
            <w:tcMar>
              <w:top w:w="130" w:type="dxa"/>
              <w:start w:w="150" w:type="dxa"/>
              <w:bottom w:w="130" w:type="dxa"/>
              <w:end w:w="150" w:type="dxa"/>
            </w:tcMar>
          </w:tcPr>
          <w:p>
            <w:r>
              <w:rPr>
                <w:b/>
                <w:color w:val="17233A"/>
                <w:sz w:val="21"/>
              </w:rPr>
              <w:t>Lock against reinterpretation</w:t>
              <w:br/>
            </w:r>
            <w:r>
              <w:rPr>
                <w:color w:val="20252E"/>
                <w:sz w:val="19"/>
              </w:rPr>
              <w:t>The current five realms are HOME, WORLD, COMMUNITY, MARKETPLACE, COMPETE in that order. Do not revive the old eight-tab app shell or generic sidebar simply because an older file contains it. Training Center and Trainers for Hire are separate concepts. Mobile must not hide core realms or world destinations behind opaque icon-only navigation.</w:t>
            </w:r>
          </w:p>
        </w:tc>
      </w:tr>
    </w:tbl>
    <w:p/>
    <w:p>
      <w:pPr>
        <w:pStyle w:val="Heading1"/>
      </w:pPr>
      <w:r>
        <w:t>Open decisions still requiring an explicit lock</w:t>
      </w:r>
    </w:p>
    <w:p>
      <w:pPr>
        <w:pStyle w:val="ListBullet"/>
        <w:spacing w:after="60"/>
      </w:pPr>
      <w:r>
        <w:t>Exact placement/shortcut for global Search in current shell.</w:t>
      </w:r>
    </w:p>
    <w:p>
      <w:pPr>
        <w:pStyle w:val="ListBullet"/>
        <w:spacing w:after="60"/>
      </w:pPr>
      <w:r>
        <w:t>Whether Chronicle/Journal is a top-HUD utility, HOME surface, or contextual history view.</w:t>
      </w:r>
    </w:p>
    <w:p>
      <w:pPr>
        <w:pStyle w:val="ListBullet"/>
        <w:spacing w:after="60"/>
      </w:pPr>
      <w:r>
        <w:t>Browser back/deep-link behavior for modal/profile flows.</w:t>
      </w:r>
    </w:p>
    <w:p>
      <w:pPr>
        <w:pStyle w:val="Heading1"/>
      </w:pPr>
      <w:r>
        <w:t>Recovery provenance &amp; precedence</w:t>
      </w:r>
    </w:p>
    <w:p>
      <w:r>
        <w:t>This file is a reconstruction of Equoria’s discussed design intent. It intentionally preserves conflicts and historical alternatives instead of silently normalizing them.</w:t>
      </w:r>
    </w:p>
    <w:p>
      <w:r>
        <w:t>Precedence used here: later explicit user decisions outrank older plans; direct user constraints outrank assistant proposals; mockup values are examples unless independently locked; reported implementation is not treated as canonical design if it conflicts with a later decision.</w:t>
      </w:r>
    </w:p>
    <w:p>
      <w:pPr>
        <w:pStyle w:val="ListBullet"/>
        <w:spacing w:after="60"/>
      </w:pPr>
      <w:r>
        <w:t>2025 Equoria planning conversations and early implementation plans</w:t>
      </w:r>
    </w:p>
    <w:p>
      <w:pPr>
        <w:pStyle w:val="ListBullet"/>
        <w:spacing w:after="60"/>
      </w:pPr>
      <w:r>
        <w:t>2026 browser-game/stable redesign conversations</w:t>
      </w:r>
    </w:p>
    <w:p>
      <w:pPr>
        <w:pStyle w:val="ListBullet"/>
        <w:spacing w:after="60"/>
      </w:pPr>
      <w:r>
        <w:t>Equoria comprehensive inventory reconstructed 5 October 2026</w:t>
      </w:r>
    </w:p>
    <w:p>
      <w:pPr>
        <w:pStyle w:val="ListBullet"/>
        <w:spacing w:after="60"/>
      </w:pPr>
      <w:r>
        <w:t>2026 Equoria Celestial Navigation style-sheet discussions</w:t>
      </w:r>
    </w:p>
    <w:p>
      <w:pPr>
        <w:pStyle w:val="ListBullet"/>
        <w:spacing w:after="60"/>
      </w:pPr>
      <w:r>
        <w:t>2025 dashboard/tab and Goldleaf navigation plans</w:t>
      </w:r>
    </w:p>
    <w:p>
      <w:pPr>
        <w:pStyle w:val="Heading1"/>
      </w:pPr>
      <w:r>
        <w:t>Use of this document</w:t>
      </w:r>
    </w:p>
    <w:p>
      <w:r>
        <w:t>Treat LOCKED and CURRENT material as the governing design baseline unless Stacey explicitly revises it. Treat PLANNED material as intended scope that still needs implementation-level definition. Treat EXPLORATORY material as archived possibilities. Treat SUPERSEDED material as historical context only and do not reintroduce it accidentally.</w:t>
      </w:r>
    </w:p>
    <w:p>
      <w:r>
        <w:t>When implementation requires a decision that this document marks OPEN, create a discrete design decision record rather than allowing code, mockups, or an AI-generated rewrite to choose by implication.</w:t>
      </w:r>
    </w:p>
    <w:p>
      <w:r>
        <w:br w:type="page"/>
      </w:r>
    </w:p>
    <w:p>
      <w:pPr>
        <w:pStyle w:val="Heading1"/>
        <w:keepNext/>
        <w:keepLines/>
      </w:pPr>
      <w:r>
        <w:rPr>
          <w:b/>
        </w:rPr>
        <w:t>SECOND-DEPTH RECONSTRUCTION PASS</w:t>
      </w:r>
    </w:p>
    <w:p>
      <w:pPr>
        <w:pStyle w:val="Heading2"/>
        <w:keepNext/>
        <w:keepLines/>
      </w:pPr>
      <w:r>
        <w:t>Deep recovery: navigation hierarchy, route mapping, discovery, and realm preservation</w:t>
      </w:r>
    </w:p>
    <w:p>
      <w:pPr>
        <w:pStyle w:val="DeepNote"/>
      </w:pPr>
      <w:r>
        <w:t>Added 5 October 2026 • source-audited against the re-uploaded historical files</w:t>
      </w:r>
    </w:p>
    <w:tbl>
      <w:tblPr>
        <w:tblW w:type="auto" w:w="0"/>
        <w:jc w:val="center"/>
        <w:tblLook w:firstColumn="1" w:firstRow="1" w:lastColumn="0" w:lastRow="0" w:noHBand="0" w:noVBand="1" w:val="04A0"/>
      </w:tblPr>
      <w:tblGrid>
        <w:gridCol w:w="10166"/>
      </w:tblGrid>
      <w:tr>
        <w:tc>
          <w:tcPr>
            <w:tcW w:type="dxa" w:w="10166"/>
            <w:shd w:fill="F2EFE6"/>
            <w:vAlign w:val="center"/>
          </w:tcPr>
          <w:p>
            <w:pPr>
              <w:keepLines/>
            </w:pPr>
            <w:r>
              <w:rPr>
                <w:b/>
              </w:rPr>
              <w:t xml:space="preserve">Evidence discipline. </w:t>
            </w:r>
            <w:r>
              <w:t>Evidence labels used in this deep pass: SOURCE-EXPLICIT means the uploaded historical material states the requirement directly; RECOVERED-CANON means the first reconstruction pass already preserved a user-directed rule from the earlier chat history; DERIVED-CONTRACT restates supported requirements as an implementation obligation without adding new balance; HISTORICAL/MOCKUP records a contemplated implementation or presentation but does not promote it to canon; OPEN means the source record does not resolve the decision.</w:t>
            </w:r>
          </w:p>
        </w:tc>
      </w:tr>
    </w:tbl>
    <w:p/>
    <w:p>
      <w:pPr>
        <w:pStyle w:val="Heading2"/>
        <w:keepNext/>
        <w:keepLines/>
      </w:pPr>
      <w:r>
        <w:t>Historical navigation surfaces that must remain findable</w:t>
      </w:r>
    </w:p>
    <w:p>
      <w:pPr>
        <w:pStyle w:val="ListBullet"/>
        <w:keepLines/>
      </w:pPr>
      <w:r>
        <w:rPr>
          <w:b/>
        </w:rPr>
        <w:t xml:space="preserve">[SOURCE-EXPLICIT] </w:t>
      </w:r>
      <w:r>
        <w:t>Early route stubs named Dashboard, Stable, World, Competitions, Search, Chat and Settings; later UI planning also separated Forums from Chat.</w:t>
      </w:r>
    </w:p>
    <w:p>
      <w:pPr>
        <w:pStyle w:val="ListBullet"/>
        <w:keepLines/>
      </w:pPr>
      <w:r>
        <w:rPr>
          <w:b/>
        </w:rPr>
        <w:t xml:space="preserve">[SOURCE-EXPLICIT] </w:t>
      </w:r>
      <w:r>
        <w:t>The mobile bottom-nav concept was variously six or eight destinations depending on revision. Badge alerts for messages/events/tasks/trades were planned at the top.</w:t>
      </w:r>
    </w:p>
    <w:p>
      <w:pPr>
        <w:pStyle w:val="ListBullet"/>
        <w:keepLines/>
      </w:pPr>
      <w:r>
        <w:rPr>
          <w:b/>
        </w:rPr>
        <w:t xml:space="preserve">[RECOVERED-CANON] </w:t>
      </w:r>
      <w:r>
        <w:t>The current browser design consolidates into a smaller realm structure. Consolidation is presentation/navigation only: Search, forums, market, training, services and records must still have a clear reachable home.</w:t>
      </w:r>
    </w:p>
    <w:p>
      <w:pPr>
        <w:pStyle w:val="ListBullet"/>
        <w:keepLines/>
      </w:pPr>
      <w:r>
        <w:rPr>
          <w:b/>
        </w:rPr>
        <w:t xml:space="preserve">[DERIVED-CONTRACT] </w:t>
      </w:r>
      <w:r>
        <w:t>A navigation redesign may rename or regroup destinations but cannot delete functional surfaces merely to fit a smaller primary nav.</w:t>
      </w:r>
    </w:p>
    <w:p>
      <w:pPr>
        <w:pStyle w:val="Heading2"/>
        <w:keepNext/>
        <w:keepLines/>
      </w:pPr>
      <w:r>
        <w:t>Search and discovery as navigation</w:t>
      </w:r>
    </w:p>
    <w:p>
      <w:pPr>
        <w:pStyle w:val="ListBullet"/>
        <w:keepLines/>
      </w:pPr>
      <w:r>
        <w:rPr>
          <w:b/>
        </w:rPr>
        <w:t xml:space="preserve">[SOURCE-EXPLICIT] </w:t>
      </w:r>
      <w:r>
        <w:t>Week 4 specified player and horse search endpoints by name. UI plans extended Search to horses, players and market items.</w:t>
      </w:r>
    </w:p>
    <w:p>
      <w:pPr>
        <w:pStyle w:val="ListBullet"/>
        <w:keepLines/>
      </w:pPr>
      <w:r>
        <w:rPr>
          <w:b/>
        </w:rPr>
        <w:t xml:space="preserve">[DERIVED-CONTRACT] </w:t>
      </w:r>
      <w:r>
        <w:t>Search results should deep-link to authoritative Horse Profile, Player/Stable Profile or Marketplace records rather than duplicate mini-records that can become stale.</w:t>
      </w:r>
    </w:p>
    <w:p>
      <w:pPr>
        <w:pStyle w:val="ListBullet"/>
        <w:keepLines/>
      </w:pPr>
      <w:r>
        <w:rPr>
          <w:b/>
        </w:rPr>
        <w:t xml:space="preserve">[SOURCE-EXPLICIT] </w:t>
      </w:r>
      <w:r>
        <w:t>Search is not only social: it is part of managing a player economy and discovering breeding/trading opportunities.</w:t>
      </w:r>
    </w:p>
    <w:p>
      <w:pPr>
        <w:pStyle w:val="Heading2"/>
        <w:keepNext/>
        <w:keepLines/>
      </w:pPr>
      <w:r>
        <w:t>Responsive/touch behavior recovered</w:t>
      </w:r>
    </w:p>
    <w:p>
      <w:pPr>
        <w:pStyle w:val="ListBullet"/>
        <w:keepLines/>
      </w:pPr>
      <w:r>
        <w:rPr>
          <w:b/>
        </w:rPr>
        <w:t xml:space="preserve">[SOURCE-EXPLICIT] </w:t>
      </w:r>
      <w:r>
        <w:t>Historical UI requirements targeted 6–7 inch screens, &gt;=44px touch targets, responsive stacking and keyboard/screen-reader support. Older guidance also explored swipe and long-press interactions.</w:t>
      </w:r>
    </w:p>
    <w:p>
      <w:pPr>
        <w:pStyle w:val="ListBullet"/>
        <w:keepLines/>
      </w:pPr>
      <w:r>
        <w:rPr>
          <w:b/>
        </w:rPr>
        <w:t xml:space="preserve">[DERIVED-CONTRACT] </w:t>
      </w:r>
      <w:r>
        <w:t>Browser navigation must work without touch-only gestures. Swipe/long-press can be accelerators, never the only way to reach a critical action.</w:t>
      </w:r>
    </w:p>
    <w:p>
      <w:pPr>
        <w:pStyle w:val="ListBullet"/>
        <w:keepLines/>
      </w:pPr>
      <w:r>
        <w:rPr>
          <w:b/>
        </w:rPr>
        <w:t xml:space="preserve">[DERIVED-CONTRACT] </w:t>
      </w:r>
      <w:r>
        <w:t>Deep pages need orientation/breadcrumb/back affordances so Horse -&gt; Pedigree -&gt; Ancestor -&gt; Competition/Registry exploration does not become a dead end.</w:t>
      </w:r>
    </w:p>
    <w:p>
      <w:pPr>
        <w:pStyle w:val="Heading2"/>
        <w:keepNext/>
        <w:keepLines/>
      </w:pPr>
      <w:r>
        <w:t>World/service distinction</w:t>
      </w:r>
    </w:p>
    <w:p>
      <w:pPr>
        <w:pStyle w:val="ListBullet"/>
        <w:keepLines/>
      </w:pPr>
      <w:r>
        <w:rPr>
          <w:b/>
        </w:rPr>
        <w:t xml:space="preserve">[RECOVERED-CANON] </w:t>
      </w:r>
      <w:r>
        <w:t>WORLD contains in-world services/destinations such as Veterinarian, Training Center, Breeding Specialist, shops/artisans and town functions. Hired staff/professionals are management relationships, not necessarily identical to physical World destinations.</w:t>
      </w:r>
    </w:p>
    <w:p>
      <w:pPr>
        <w:pStyle w:val="ListBullet"/>
        <w:keepLines/>
      </w:pPr>
      <w:r>
        <w:rPr>
          <w:b/>
        </w:rPr>
        <w:t xml:space="preserve">[DERIVED-CONTRACT] </w:t>
      </w:r>
      <w:r>
        <w:t>Do not conflate “Training Center” (a navigation/service destination) with “Trainer for Hire” (a staff/professional relationship) or “player Trainer profession” (a possible economy role).</w:t>
      </w:r>
    </w:p>
    <w:p>
      <w:pPr>
        <w:pStyle w:val="Heading2"/>
        <w:keepNext/>
        <w:keepLines/>
      </w:pPr>
      <w:r>
        <w:t>Source trace for this deep pass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3D4D"/>
          </w:tcPr>
          <w:p>
            <w:r>
              <w:rPr>
                <w:b/>
                <w:color w:val="FFFFFF"/>
              </w:rPr>
              <w:t>Source</w:t>
            </w:r>
          </w:p>
        </w:tc>
        <w:tc>
          <w:tcPr>
            <w:tcW w:type="dxa" w:w="5083"/>
            <w:shd w:fill="2F3D4D"/>
          </w:tcPr>
          <w:p>
            <w:r>
              <w:rPr>
                <w:b/>
                <w:color w:val="FFFFFF"/>
              </w:rPr>
              <w:t>How it is used here</w:t>
            </w:r>
          </w:p>
        </w:tc>
      </w:tr>
      <w:tr>
        <w:tc>
          <w:tcPr>
            <w:tcW w:type="dxa" w:w="5083"/>
            <w:vAlign w:val="top"/>
          </w:tcPr>
          <w:p>
            <w:pPr>
              <w:keepLines/>
            </w:pPr>
            <w:r>
              <w:t>003_ui_ux_guidelines.mdc</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UI Design.docx</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More UI Design.docx</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Complete project plan.docx</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week 4.docx</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Claude wireframes.docx</w:t>
            </w:r>
          </w:p>
        </w:tc>
        <w:tc>
          <w:tcPr>
            <w:tcW w:type="dxa" w:w="5083"/>
            <w:vAlign w:val="top"/>
          </w:tcPr>
          <w:p>
            <w:pPr>
              <w:keepLines/>
            </w:pPr>
            <w:r>
              <w:t>Evidence for requirements/history; exact authority depends on whether the source is a rule file, implementation plan, UI mockup, or reconstructed user-directed canon.</w:t>
            </w:r>
          </w:p>
        </w:tc>
      </w:tr>
    </w:tbl>
    <w:p>
      <w:pPr>
        <w:pStyle w:val="Heading2"/>
        <w:keepNext/>
        <w:keepLines/>
      </w:pPr>
      <w:r>
        <w:t>Deep-pass acceptance checks</w:t>
      </w:r>
    </w:p>
    <w:p>
      <w:pPr>
        <w:pStyle w:val="ListBullet"/>
        <w:keepLines/>
      </w:pPr>
      <w:r>
        <w:rPr>
          <w:b/>
        </w:rPr>
        <w:t xml:space="preserve">[DERIVED-CONTRACT] </w:t>
      </w:r>
      <w:r>
        <w:t>A future implementation can identify which values are locked versus open without guessing from a mockup.</w:t>
      </w:r>
    </w:p>
    <w:p>
      <w:pPr>
        <w:pStyle w:val="ListBullet"/>
        <w:keepLines/>
      </w:pPr>
      <w:r>
        <w:rPr>
          <w:b/>
        </w:rPr>
        <w:t xml:space="preserve">[DERIVED-CONTRACT] </w:t>
      </w:r>
      <w:r>
        <w:t>Any historical rule that conflicts with a later correction is visibly marked and cannot silently return through copied code/tests.</w:t>
      </w:r>
    </w:p>
    <w:p>
      <w:pPr>
        <w:pStyle w:val="ListBullet"/>
        <w:keepLines/>
      </w:pPr>
      <w:r>
        <w:rPr>
          <w:b/>
        </w:rPr>
        <w:t xml:space="preserve">[DERIVED-CONTRACT] </w:t>
      </w:r>
      <w:r>
        <w:t>The UI can be redesigned without deleting the underlying system responsibilities or authoritative records.</w:t>
      </w:r>
    </w:p>
    <w:p>
      <w:pPr>
        <w:pStyle w:val="ListBullet"/>
        <w:keepLines/>
      </w:pPr>
      <w:r>
        <w:rPr>
          <w:b/>
        </w:rPr>
        <w:t xml:space="preserve">[DERIVED-CONTRACT] </w:t>
      </w:r>
      <w:r>
        <w:t>Server/domain logic remains the source of eligibility, scoring, economy and permissions; clients render and request actions rather than inventing rules.</w:t>
      </w:r>
    </w:p>
    <w:p>
      <w:pPr>
        <w:pStyle w:val="ListBullet"/>
        <w:keepLines/>
      </w:pPr>
      <w:r>
        <w:rPr>
          <w:b/>
        </w:rPr>
        <w:t xml:space="preserve">[DERIVED-CONTRACT] </w:t>
      </w:r>
      <w:r>
        <w:t>If a required rule is unsupported by the recovered record, it remains OPEN and is routed to an explicit design decision instead of being fabricated.</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Reconstructed Design Bible • Canonical Pass V6 • 9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