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07 OF 23</w:t>
      </w:r>
    </w:p>
    <w:p>
      <w:pPr>
        <w:pStyle w:val="Title"/>
      </w:pPr>
      <w:r>
        <w:t>7. Genetics, Color &amp; Phenotype</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Reconstructs Equoria’s realistic horse-color genetics system: Mendelian inheritance, breed-restricted allele pools and prevalence, genotype-to-phenotype processing, lethal-combination prevention, markings/modifiers, rare color concepts and the rules that keep appearance customization from overwriting genetic truth.</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55E3B"/>
            <w:tcMar>
              <w:top w:w="80" w:type="dxa"/>
              <w:start w:w="90" w:type="dxa"/>
              <w:bottom w:w="80" w:type="dxa"/>
              <w:end w:w="90" w:type="dxa"/>
            </w:tcMar>
            <w:vAlign w:val="center"/>
          </w:tcPr>
          <w:p>
            <w:pPr>
              <w:jc w:val="center"/>
            </w:pPr>
            <w:r>
              <w:rPr>
                <w:rFonts w:ascii="Aptos" w:hAnsi="Aptos"/>
                <w:b/>
                <w:color w:val="FFFFFF"/>
                <w:sz w:val="16"/>
              </w:rPr>
              <w:t>LOCKED</w:t>
            </w:r>
          </w:p>
        </w:tc>
        <w:tc>
          <w:tcPr>
            <w:tcW w:type="dxa" w:w="4997"/>
            <w:shd w:fill="F7F8FA"/>
            <w:tcMar>
              <w:top w:w="80" w:type="dxa"/>
              <w:start w:w="120" w:type="dxa"/>
              <w:bottom w:w="80" w:type="dxa"/>
              <w:end w:w="120" w:type="dxa"/>
            </w:tcMar>
            <w:vAlign w:val="center"/>
          </w:tcPr>
          <w:p>
            <w:r>
              <w:rPr>
                <w:rFonts w:ascii="Aptos" w:hAnsi="Aptos"/>
                <w:color w:val="20252E"/>
                <w:sz w:val="19"/>
              </w:rPr>
              <w:t>Mendelian inheritance, breed restrictions/weights, genotype→phenotype mapping and prevention of lethal combinations.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55E3B"/>
            <w:tcMar>
              <w:top w:w="80" w:type="dxa"/>
              <w:start w:w="90" w:type="dxa"/>
              <w:bottom w:w="80" w:type="dxa"/>
              <w:end w:w="90" w:type="dxa"/>
            </w:tcMar>
            <w:vAlign w:val="center"/>
          </w:tcPr>
          <w:p>
            <w:pPr>
              <w:jc w:val="center"/>
            </w:pPr>
            <w:r>
              <w:rPr>
                <w:rFonts w:ascii="Aptos" w:hAnsi="Aptos"/>
                <w:b/>
                <w:color w:val="FFFFFF"/>
                <w:sz w:val="16"/>
              </w:rPr>
              <w:t>LOCKED</w:t>
            </w:r>
          </w:p>
        </w:tc>
        <w:tc>
          <w:tcPr>
            <w:tcW w:type="dxa" w:w="4997"/>
            <w:shd w:fill="F7F8FA"/>
            <w:tcMar>
              <w:top w:w="80" w:type="dxa"/>
              <w:start w:w="120" w:type="dxa"/>
              <w:bottom w:w="80" w:type="dxa"/>
              <w:end w:w="120" w:type="dxa"/>
            </w:tcMar>
            <w:vAlign w:val="center"/>
          </w:tcPr>
          <w:p>
            <w:r>
              <w:rPr>
                <w:rFonts w:ascii="Aptos" w:hAnsi="Aptos"/>
                <w:color w:val="20252E"/>
                <w:sz w:val="19"/>
              </w:rPr>
              <w:t>Breed profiles carry allowed alleles, disallowed combinations, prevalence and marking/shade biases.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6A5775"/>
            <w:tcMar>
              <w:top w:w="80" w:type="dxa"/>
              <w:start w:w="90" w:type="dxa"/>
              <w:bottom w:w="80" w:type="dxa"/>
              <w:end w:w="90" w:type="dxa"/>
            </w:tcMar>
            <w:vAlign w:val="center"/>
          </w:tcPr>
          <w:p>
            <w:pPr>
              <w:jc w:val="center"/>
            </w:pPr>
            <w:r>
              <w:rPr>
                <w:rFonts w:ascii="Aptos" w:hAnsi="Aptos"/>
                <w:b/>
                <w:color w:val="FFFFFF"/>
                <w:sz w:val="16"/>
              </w:rPr>
              <w:t>EXPLORATORY</w:t>
            </w:r>
          </w:p>
        </w:tc>
        <w:tc>
          <w:tcPr>
            <w:tcW w:type="dxa" w:w="4997"/>
            <w:shd w:fill="F7F8FA"/>
            <w:tcMar>
              <w:top w:w="80" w:type="dxa"/>
              <w:start w:w="120" w:type="dxa"/>
              <w:bottom w:w="80" w:type="dxa"/>
              <w:end w:w="120" w:type="dxa"/>
            </w:tcMar>
            <w:vAlign w:val="center"/>
          </w:tcPr>
          <w:p>
            <w:r>
              <w:rPr>
                <w:rFonts w:ascii="Aptos" w:hAnsi="Aptos"/>
                <w:color w:val="20252E"/>
                <w:sz w:val="19"/>
              </w:rPr>
              <w:t>Snowflake/Frost/Snowdrop and mutation/discovery extensions need final research/locks.</w:t>
            </w:r>
          </w:p>
        </w:tc>
      </w:tr>
    </w:tbl>
    <w:p>
      <w:pPr>
        <w:spacing w:after="0"/>
      </w:pPr>
    </w:p>
    <w:p>
      <w:pPr>
        <w:pStyle w:val="Heading1"/>
      </w:pPr>
      <w:r>
        <w:t>Foundational genetics rule</w:t>
      </w:r>
    </w:p>
    <w:tbl>
      <w:tblPr>
        <w:tblW w:type="auto" w:w="0"/>
        <w:jc w:val="center"/>
        <w:tblLayout w:type="autofit"/>
        <w:tblLook w:firstColumn="1" w:firstRow="1" w:lastColumn="0" w:lastRow="0" w:noHBand="0" w:noVBand="1" w:val="04A0"/>
      </w:tblPr>
      <w:tblGrid>
        <w:gridCol w:w="9994"/>
      </w:tblGrid>
      <w:tr>
        <w:trPr>
          <w:cantSplit/>
        </w:trPr>
        <w:tc>
          <w:tcPr>
            <w:tcW w:type="dxa" w:w="9994"/>
            <w:shd w:fill="EEF4F7"/>
            <w:tcMar>
              <w:top w:w="130" w:type="dxa"/>
              <w:start w:w="150" w:type="dxa"/>
              <w:bottom w:w="130" w:type="dxa"/>
              <w:end w:w="150" w:type="dxa"/>
            </w:tcMar>
          </w:tcPr>
          <w:p>
            <w:r>
              <w:rPr>
                <w:b/>
                <w:color w:val="17233A"/>
                <w:sz w:val="21"/>
              </w:rPr>
              <w:t>Design intent</w:t>
              <w:br/>
            </w:r>
            <w:r>
              <w:rPr>
                <w:color w:val="20252E"/>
                <w:sz w:val="19"/>
              </w:rPr>
              <w:t>Genetics is not decorative flavor. The horse stores inheritable genotype; breeding passes alleles according to Mendelian rules; phenotype/color is derived from genotype plus breed-aware modifiers. Breed profiles constrain what can realistically occur and how common it is.</w:t>
            </w:r>
          </w:p>
        </w:tc>
      </w:tr>
    </w:tbl>
    <w:p/>
    <w:p>
      <w:pPr>
        <w:pStyle w:val="Heading1"/>
      </w:pPr>
      <w:r>
        <w:t>Genotype versus phenotype</w:t>
      </w:r>
    </w:p>
    <w:p>
      <w:pPr>
        <w:pStyle w:val="ListBullet"/>
        <w:spacing w:after="60"/>
      </w:pPr>
      <w:r>
        <w:t>Genotype is the inherited genetic record and belongs on the Genetics surface.</w:t>
      </w:r>
    </w:p>
    <w:p>
      <w:pPr>
        <w:pStyle w:val="ListBullet"/>
        <w:spacing w:after="60"/>
      </w:pPr>
      <w:r>
        <w:t>Phenotype/color is the visible expression shown as the horse’s color/appearance.</w:t>
      </w:r>
    </w:p>
    <w:p>
      <w:pPr>
        <w:pStyle w:val="ListBullet"/>
        <w:spacing w:after="60"/>
      </w:pPr>
      <w:r>
        <w:t>The genotype→phenotype processor must produce a valid phenotype key before shade/appearance selection (`determinePhenotype()` / `phenotypeKeyForShade` language appeared in the original technical rules).</w:t>
      </w:r>
    </w:p>
    <w:p>
      <w:pPr>
        <w:pStyle w:val="ListBullet"/>
        <w:spacing w:after="60"/>
      </w:pPr>
      <w:r>
        <w:t>The rendered horse image, text color description and breeding preview should derive from the same underlying genetic truth rather than separate hand-authored labels.</w:t>
      </w:r>
    </w:p>
    <w:p>
      <w:pPr>
        <w:pStyle w:val="Heading1"/>
      </w:pPr>
      <w:r>
        <w:t>Recovered loci / allele families discussed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7233A"/>
            <w:tcMar>
              <w:top w:w="80" w:type="dxa"/>
              <w:start w:w="90" w:type="dxa"/>
              <w:bottom w:w="80" w:type="dxa"/>
              <w:end w:w="90" w:type="dxa"/>
            </w:tcMar>
          </w:tcPr>
          <w:p>
            <w:r>
              <w:rPr>
                <w:b/>
                <w:color w:val="FFFFFF"/>
                <w:sz w:val="17"/>
              </w:rPr>
              <w:t>System</w:t>
            </w:r>
          </w:p>
        </w:tc>
        <w:tc>
          <w:tcPr>
            <w:tcW w:type="dxa" w:w="8136"/>
            <w:shd w:fill="17233A"/>
            <w:tcMar>
              <w:top w:w="80" w:type="dxa"/>
              <w:start w:w="90" w:type="dxa"/>
              <w:bottom w:w="80" w:type="dxa"/>
              <w:end w:w="90" w:type="dxa"/>
            </w:tcMar>
          </w:tcPr>
          <w:p>
            <w:r>
              <w:rPr>
                <w:b/>
                <w:color w:val="FFFFFF"/>
                <w:sz w:val="17"/>
              </w:rPr>
              <w:t>Recovered loci / concepts</w:t>
            </w:r>
          </w:p>
        </w:tc>
      </w:tr>
      <w:tr>
        <w:trPr>
          <w:cantSplit/>
        </w:trPr>
        <w:tc>
          <w:tcPr>
            <w:tcW w:type="dxa" w:w="2232"/>
            <w:tcMar>
              <w:top w:w="70" w:type="dxa"/>
              <w:start w:w="90" w:type="dxa"/>
              <w:bottom w:w="70" w:type="dxa"/>
              <w:end w:w="90" w:type="dxa"/>
            </w:tcMar>
          </w:tcPr>
          <w:p>
            <w:r>
              <w:rPr>
                <w:color w:val="20252E"/>
                <w:sz w:val="17"/>
              </w:rPr>
              <w:t>Base color</w:t>
            </w:r>
          </w:p>
        </w:tc>
        <w:tc>
          <w:tcPr>
            <w:tcW w:type="dxa" w:w="8136"/>
            <w:tcMar>
              <w:top w:w="70" w:type="dxa"/>
              <w:start w:w="90" w:type="dxa"/>
              <w:bottom w:w="70" w:type="dxa"/>
              <w:end w:w="90" w:type="dxa"/>
            </w:tcMar>
          </w:tcPr>
          <w:p>
            <w:r>
              <w:rPr>
                <w:color w:val="20252E"/>
                <w:sz w:val="17"/>
              </w:rPr>
              <w:t>Extension E/e; Agouti A/a.</w:t>
            </w:r>
          </w:p>
        </w:tc>
      </w:tr>
      <w:tr>
        <w:trPr>
          <w:cantSplit/>
        </w:trPr>
        <w:tc>
          <w:tcPr>
            <w:tcW w:type="dxa" w:w="2232"/>
            <w:shd w:fill="F7F8FA"/>
            <w:tcMar>
              <w:top w:w="70" w:type="dxa"/>
              <w:start w:w="90" w:type="dxa"/>
              <w:bottom w:w="70" w:type="dxa"/>
              <w:end w:w="90" w:type="dxa"/>
            </w:tcMar>
          </w:tcPr>
          <w:p>
            <w:r>
              <w:rPr>
                <w:color w:val="20252E"/>
                <w:sz w:val="17"/>
              </w:rPr>
              <w:t>Dilutions</w:t>
            </w:r>
          </w:p>
        </w:tc>
        <w:tc>
          <w:tcPr>
            <w:tcW w:type="dxa" w:w="8136"/>
            <w:shd w:fill="F7F8FA"/>
            <w:tcMar>
              <w:top w:w="70" w:type="dxa"/>
              <w:start w:w="90" w:type="dxa"/>
              <w:bottom w:w="70" w:type="dxa"/>
              <w:end w:w="90" w:type="dxa"/>
            </w:tcMar>
          </w:tcPr>
          <w:p>
            <w:r>
              <w:rPr>
                <w:color w:val="20252E"/>
                <w:sz w:val="17"/>
              </w:rPr>
              <w:t>Cream Cr; Dun D/nd1/nd2 (TBX3 context); Champagne Ch; Pearl Prl; Silver Z.</w:t>
            </w:r>
          </w:p>
        </w:tc>
      </w:tr>
      <w:tr>
        <w:trPr>
          <w:cantSplit/>
        </w:trPr>
        <w:tc>
          <w:tcPr>
            <w:tcW w:type="dxa" w:w="2232"/>
            <w:tcMar>
              <w:top w:w="70" w:type="dxa"/>
              <w:start w:w="90" w:type="dxa"/>
              <w:bottom w:w="70" w:type="dxa"/>
              <w:end w:w="90" w:type="dxa"/>
            </w:tcMar>
          </w:tcPr>
          <w:p>
            <w:r>
              <w:rPr>
                <w:color w:val="20252E"/>
                <w:sz w:val="17"/>
              </w:rPr>
              <w:t>Roan / gray</w:t>
            </w:r>
          </w:p>
        </w:tc>
        <w:tc>
          <w:tcPr>
            <w:tcW w:type="dxa" w:w="8136"/>
            <w:tcMar>
              <w:top w:w="70" w:type="dxa"/>
              <w:start w:w="90" w:type="dxa"/>
              <w:bottom w:w="70" w:type="dxa"/>
              <w:end w:w="90" w:type="dxa"/>
            </w:tcMar>
          </w:tcPr>
          <w:p>
            <w:r>
              <w:rPr>
                <w:color w:val="20252E"/>
                <w:sz w:val="17"/>
              </w:rPr>
              <w:t>Roan Rn; Gray G.</w:t>
            </w:r>
          </w:p>
        </w:tc>
      </w:tr>
      <w:tr>
        <w:trPr>
          <w:cantSplit/>
        </w:trPr>
        <w:tc>
          <w:tcPr>
            <w:tcW w:type="dxa" w:w="2232"/>
            <w:shd w:fill="F7F8FA"/>
            <w:tcMar>
              <w:top w:w="70" w:type="dxa"/>
              <w:start w:w="90" w:type="dxa"/>
              <w:bottom w:w="70" w:type="dxa"/>
              <w:end w:w="90" w:type="dxa"/>
            </w:tcMar>
          </w:tcPr>
          <w:p>
            <w:r>
              <w:rPr>
                <w:color w:val="20252E"/>
                <w:sz w:val="17"/>
              </w:rPr>
              <w:t>White / spotting</w:t>
            </w:r>
          </w:p>
        </w:tc>
        <w:tc>
          <w:tcPr>
            <w:tcW w:type="dxa" w:w="8136"/>
            <w:shd w:fill="F7F8FA"/>
            <w:tcMar>
              <w:top w:w="70" w:type="dxa"/>
              <w:start w:w="90" w:type="dxa"/>
              <w:bottom w:w="70" w:type="dxa"/>
              <w:end w:w="90" w:type="dxa"/>
            </w:tcMar>
          </w:tcPr>
          <w:p>
            <w:r>
              <w:rPr>
                <w:color w:val="20252E"/>
                <w:sz w:val="17"/>
              </w:rPr>
              <w:t>Dominant White W1–W39 / W20 examples; Tobiano TO; Frame Overo O; Sabino SB1; Splash White SW1–SW10.</w:t>
            </w:r>
          </w:p>
        </w:tc>
      </w:tr>
      <w:tr>
        <w:trPr>
          <w:cantSplit/>
        </w:trPr>
        <w:tc>
          <w:tcPr>
            <w:tcW w:type="dxa" w:w="2232"/>
            <w:tcMar>
              <w:top w:w="70" w:type="dxa"/>
              <w:start w:w="90" w:type="dxa"/>
              <w:bottom w:w="70" w:type="dxa"/>
              <w:end w:w="90" w:type="dxa"/>
            </w:tcMar>
          </w:tcPr>
          <w:p>
            <w:r>
              <w:rPr>
                <w:color w:val="20252E"/>
                <w:sz w:val="17"/>
              </w:rPr>
              <w:t>Appaloosa complex</w:t>
            </w:r>
          </w:p>
        </w:tc>
        <w:tc>
          <w:tcPr>
            <w:tcW w:type="dxa" w:w="8136"/>
            <w:tcMar>
              <w:top w:w="70" w:type="dxa"/>
              <w:start w:w="90" w:type="dxa"/>
              <w:bottom w:w="70" w:type="dxa"/>
              <w:end w:w="90" w:type="dxa"/>
            </w:tcMar>
          </w:tcPr>
          <w:p>
            <w:r>
              <w:rPr>
                <w:color w:val="20252E"/>
                <w:sz w:val="17"/>
              </w:rPr>
              <w:t>LP and PATN1; varnish/snowflake/frost-style expression concepts.</w:t>
            </w:r>
          </w:p>
        </w:tc>
      </w:tr>
      <w:tr>
        <w:trPr>
          <w:cantSplit/>
        </w:trPr>
        <w:tc>
          <w:tcPr>
            <w:tcW w:type="dxa" w:w="2232"/>
            <w:shd w:fill="F7F8FA"/>
            <w:tcMar>
              <w:top w:w="70" w:type="dxa"/>
              <w:start w:w="90" w:type="dxa"/>
              <w:bottom w:w="70" w:type="dxa"/>
              <w:end w:w="90" w:type="dxa"/>
            </w:tcMar>
          </w:tcPr>
          <w:p>
            <w:r>
              <w:rPr>
                <w:color w:val="20252E"/>
                <w:sz w:val="17"/>
              </w:rPr>
              <w:t>Modifiers</w:t>
            </w:r>
          </w:p>
        </w:tc>
        <w:tc>
          <w:tcPr>
            <w:tcW w:type="dxa" w:w="8136"/>
            <w:shd w:fill="F7F8FA"/>
            <w:tcMar>
              <w:top w:w="70" w:type="dxa"/>
              <w:start w:w="90" w:type="dxa"/>
              <w:bottom w:w="70" w:type="dxa"/>
              <w:end w:w="90" w:type="dxa"/>
            </w:tcMar>
          </w:tcPr>
          <w:p>
            <w:r>
              <w:rPr>
                <w:color w:val="20252E"/>
                <w:sz w:val="17"/>
              </w:rPr>
              <w:t>Sooty, pangaré/mealy, flaxen, rabicano; mushroom/brindle and other breed-specific/rare concepts were discussed.</w:t>
            </w:r>
          </w:p>
        </w:tc>
      </w:tr>
    </w:tbl>
    <w:p/>
    <w:p>
      <w:pPr>
        <w:pStyle w:val="Heading1"/>
      </w:pPr>
      <w:r>
        <w:t>Breed profile data model</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shd w:fill="17233A"/>
            <w:tcMar>
              <w:top w:w="80" w:type="dxa"/>
              <w:start w:w="90" w:type="dxa"/>
              <w:bottom w:w="80" w:type="dxa"/>
              <w:end w:w="90" w:type="dxa"/>
            </w:tcMar>
          </w:tcPr>
          <w:p>
            <w:r>
              <w:rPr>
                <w:b/>
                <w:color w:val="FFFFFF"/>
                <w:sz w:val="17"/>
              </w:rPr>
              <w:t>Key</w:t>
            </w:r>
          </w:p>
        </w:tc>
        <w:tc>
          <w:tcPr>
            <w:tcW w:type="dxa" w:w="7200"/>
            <w:shd w:fill="17233A"/>
            <w:tcMar>
              <w:top w:w="80" w:type="dxa"/>
              <w:start w:w="90" w:type="dxa"/>
              <w:bottom w:w="80" w:type="dxa"/>
              <w:end w:w="90" w:type="dxa"/>
            </w:tcMar>
          </w:tcPr>
          <w:p>
            <w:r>
              <w:rPr>
                <w:b/>
                <w:color w:val="FFFFFF"/>
                <w:sz w:val="17"/>
              </w:rPr>
              <w:t>Purpose</w:t>
            </w:r>
          </w:p>
        </w:tc>
      </w:tr>
      <w:tr>
        <w:trPr>
          <w:cantSplit/>
        </w:trPr>
        <w:tc>
          <w:tcPr>
            <w:tcW w:type="dxa" w:w="3168"/>
            <w:tcMar>
              <w:top w:w="70" w:type="dxa"/>
              <w:start w:w="90" w:type="dxa"/>
              <w:bottom w:w="70" w:type="dxa"/>
              <w:end w:w="90" w:type="dxa"/>
            </w:tcMar>
          </w:tcPr>
          <w:p>
            <w:r>
              <w:rPr>
                <w:color w:val="20252E"/>
                <w:sz w:val="17"/>
              </w:rPr>
              <w:t>breed_name</w:t>
            </w:r>
          </w:p>
        </w:tc>
        <w:tc>
          <w:tcPr>
            <w:tcW w:type="dxa" w:w="7200"/>
            <w:tcMar>
              <w:top w:w="70" w:type="dxa"/>
              <w:start w:w="90" w:type="dxa"/>
              <w:bottom w:w="70" w:type="dxa"/>
              <w:end w:w="90" w:type="dxa"/>
            </w:tcMar>
          </w:tcPr>
          <w:p>
            <w:r>
              <w:rPr>
                <w:color w:val="20252E"/>
                <w:sz w:val="17"/>
              </w:rPr>
              <w:t>Canonical breed identity.</w:t>
            </w:r>
          </w:p>
        </w:tc>
      </w:tr>
      <w:tr>
        <w:trPr>
          <w:cantSplit/>
        </w:trPr>
        <w:tc>
          <w:tcPr>
            <w:tcW w:type="dxa" w:w="3168"/>
            <w:shd w:fill="F7F8FA"/>
            <w:tcMar>
              <w:top w:w="70" w:type="dxa"/>
              <w:start w:w="90" w:type="dxa"/>
              <w:bottom w:w="70" w:type="dxa"/>
              <w:end w:w="90" w:type="dxa"/>
            </w:tcMar>
          </w:tcPr>
          <w:p>
            <w:r>
              <w:rPr>
                <w:color w:val="20252E"/>
                <w:sz w:val="17"/>
              </w:rPr>
              <w:t>allowed_alleles</w:t>
            </w:r>
          </w:p>
        </w:tc>
        <w:tc>
          <w:tcPr>
            <w:tcW w:type="dxa" w:w="7200"/>
            <w:shd w:fill="F7F8FA"/>
            <w:tcMar>
              <w:top w:w="70" w:type="dxa"/>
              <w:start w:w="90" w:type="dxa"/>
              <w:bottom w:w="70" w:type="dxa"/>
              <w:end w:w="90" w:type="dxa"/>
            </w:tcMar>
          </w:tcPr>
          <w:p>
            <w:r>
              <w:rPr>
                <w:color w:val="20252E"/>
                <w:sz w:val="17"/>
              </w:rPr>
              <w:t>Prevents impossible/unwanted alleles from entering a breed population.</w:t>
            </w:r>
          </w:p>
        </w:tc>
      </w:tr>
      <w:tr>
        <w:trPr>
          <w:cantSplit/>
        </w:trPr>
        <w:tc>
          <w:tcPr>
            <w:tcW w:type="dxa" w:w="3168"/>
            <w:tcMar>
              <w:top w:w="70" w:type="dxa"/>
              <w:start w:w="90" w:type="dxa"/>
              <w:bottom w:w="70" w:type="dxa"/>
              <w:end w:w="90" w:type="dxa"/>
            </w:tcMar>
          </w:tcPr>
          <w:p>
            <w:r>
              <w:rPr>
                <w:color w:val="20252E"/>
                <w:sz w:val="17"/>
              </w:rPr>
              <w:t>disallowed_combinations</w:t>
            </w:r>
          </w:p>
        </w:tc>
        <w:tc>
          <w:tcPr>
            <w:tcW w:type="dxa" w:w="7200"/>
            <w:tcMar>
              <w:top w:w="70" w:type="dxa"/>
              <w:start w:w="90" w:type="dxa"/>
              <w:bottom w:w="70" w:type="dxa"/>
              <w:end w:w="90" w:type="dxa"/>
            </w:tcMar>
          </w:tcPr>
          <w:p>
            <w:r>
              <w:rPr>
                <w:color w:val="20252E"/>
                <w:sz w:val="17"/>
              </w:rPr>
              <w:t>Blocks lethal/nonviable or otherwise prohibited combinations.</w:t>
            </w:r>
          </w:p>
        </w:tc>
      </w:tr>
      <w:tr>
        <w:trPr>
          <w:cantSplit/>
        </w:trPr>
        <w:tc>
          <w:tcPr>
            <w:tcW w:type="dxa" w:w="3168"/>
            <w:shd w:fill="F7F8FA"/>
            <w:tcMar>
              <w:top w:w="70" w:type="dxa"/>
              <w:start w:w="90" w:type="dxa"/>
              <w:bottom w:w="70" w:type="dxa"/>
              <w:end w:w="90" w:type="dxa"/>
            </w:tcMar>
          </w:tcPr>
          <w:p>
            <w:r>
              <w:rPr>
                <w:color w:val="20252E"/>
                <w:sz w:val="17"/>
              </w:rPr>
              <w:t>allele_weights</w:t>
            </w:r>
          </w:p>
        </w:tc>
        <w:tc>
          <w:tcPr>
            <w:tcW w:type="dxa" w:w="7200"/>
            <w:shd w:fill="F7F8FA"/>
            <w:tcMar>
              <w:top w:w="70" w:type="dxa"/>
              <w:start w:w="90" w:type="dxa"/>
              <w:bottom w:w="70" w:type="dxa"/>
              <w:end w:w="90" w:type="dxa"/>
            </w:tcMar>
          </w:tcPr>
          <w:p>
            <w:r>
              <w:rPr>
                <w:color w:val="20252E"/>
                <w:sz w:val="17"/>
              </w:rPr>
              <w:t>Controls realistic prevalence when generating founder/store horses.</w:t>
            </w:r>
          </w:p>
        </w:tc>
      </w:tr>
      <w:tr>
        <w:trPr>
          <w:cantSplit/>
        </w:trPr>
        <w:tc>
          <w:tcPr>
            <w:tcW w:type="dxa" w:w="3168"/>
            <w:tcMar>
              <w:top w:w="70" w:type="dxa"/>
              <w:start w:w="90" w:type="dxa"/>
              <w:bottom w:w="70" w:type="dxa"/>
              <w:end w:w="90" w:type="dxa"/>
            </w:tcMar>
          </w:tcPr>
          <w:p>
            <w:r>
              <w:rPr>
                <w:color w:val="20252E"/>
                <w:sz w:val="17"/>
              </w:rPr>
              <w:t>marking_bias</w:t>
            </w:r>
          </w:p>
        </w:tc>
        <w:tc>
          <w:tcPr>
            <w:tcW w:type="dxa" w:w="7200"/>
            <w:tcMar>
              <w:top w:w="70" w:type="dxa"/>
              <w:start w:w="90" w:type="dxa"/>
              <w:bottom w:w="70" w:type="dxa"/>
              <w:end w:w="90" w:type="dxa"/>
            </w:tcMar>
          </w:tcPr>
          <w:p>
            <w:r>
              <w:rPr>
                <w:color w:val="20252E"/>
                <w:sz w:val="17"/>
              </w:rPr>
              <w:t>Controls probability/style distribution of facial/leg markings.</w:t>
            </w:r>
          </w:p>
        </w:tc>
      </w:tr>
      <w:tr>
        <w:trPr>
          <w:cantSplit/>
        </w:trPr>
        <w:tc>
          <w:tcPr>
            <w:tcW w:type="dxa" w:w="3168"/>
            <w:shd w:fill="F7F8FA"/>
            <w:tcMar>
              <w:top w:w="70" w:type="dxa"/>
              <w:start w:w="90" w:type="dxa"/>
              <w:bottom w:w="70" w:type="dxa"/>
              <w:end w:w="90" w:type="dxa"/>
            </w:tcMar>
          </w:tcPr>
          <w:p>
            <w:r>
              <w:rPr>
                <w:color w:val="20252E"/>
                <w:sz w:val="17"/>
              </w:rPr>
              <w:t>shade_bias</w:t>
            </w:r>
          </w:p>
        </w:tc>
        <w:tc>
          <w:tcPr>
            <w:tcW w:type="dxa" w:w="7200"/>
            <w:shd w:fill="F7F8FA"/>
            <w:tcMar>
              <w:top w:w="70" w:type="dxa"/>
              <w:start w:w="90" w:type="dxa"/>
              <w:bottom w:w="70" w:type="dxa"/>
              <w:end w:w="90" w:type="dxa"/>
            </w:tcMar>
          </w:tcPr>
          <w:p>
            <w:r>
              <w:rPr>
                <w:color w:val="20252E"/>
                <w:sz w:val="17"/>
              </w:rPr>
              <w:t>Breed-aware phenotype shade weighting.</w:t>
            </w:r>
          </w:p>
        </w:tc>
      </w:tr>
      <w:tr>
        <w:trPr>
          <w:cantSplit/>
        </w:trPr>
        <w:tc>
          <w:tcPr>
            <w:tcW w:type="dxa" w:w="3168"/>
            <w:tcMar>
              <w:top w:w="70" w:type="dxa"/>
              <w:start w:w="90" w:type="dxa"/>
              <w:bottom w:w="70" w:type="dxa"/>
              <w:end w:w="90" w:type="dxa"/>
            </w:tcMar>
          </w:tcPr>
          <w:p>
            <w:r>
              <w:rPr>
                <w:color w:val="20252E"/>
                <w:sz w:val="17"/>
              </w:rPr>
              <w:t>modifier prevalence</w:t>
            </w:r>
          </w:p>
        </w:tc>
        <w:tc>
          <w:tcPr>
            <w:tcW w:type="dxa" w:w="7200"/>
            <w:tcMar>
              <w:top w:w="70" w:type="dxa"/>
              <w:start w:w="90" w:type="dxa"/>
              <w:bottom w:w="70" w:type="dxa"/>
              <w:end w:w="90" w:type="dxa"/>
            </w:tcMar>
          </w:tcPr>
          <w:p>
            <w:r>
              <w:rPr>
                <w:color w:val="20252E"/>
                <w:sz w:val="17"/>
              </w:rPr>
              <w:t>Breed-specific likelihood of sooty, pangaré, flaxen, rabicano or other modifiers.</w:t>
            </w:r>
          </w:p>
        </w:tc>
      </w:tr>
      <w:tr>
        <w:trPr>
          <w:cantSplit/>
        </w:trPr>
        <w:tc>
          <w:tcPr>
            <w:tcW w:type="dxa" w:w="3168"/>
            <w:shd w:fill="F7F8FA"/>
            <w:tcMar>
              <w:top w:w="70" w:type="dxa"/>
              <w:start w:w="90" w:type="dxa"/>
              <w:bottom w:w="70" w:type="dxa"/>
              <w:end w:w="90" w:type="dxa"/>
            </w:tcMar>
          </w:tcPr>
          <w:p>
            <w:r>
              <w:rPr>
                <w:color w:val="20252E"/>
                <w:sz w:val="17"/>
              </w:rPr>
              <w:t>phenotypeKeyForShade validation</w:t>
            </w:r>
          </w:p>
        </w:tc>
        <w:tc>
          <w:tcPr>
            <w:tcW w:type="dxa" w:w="7200"/>
            <w:shd w:fill="F7F8FA"/>
            <w:tcMar>
              <w:top w:w="70" w:type="dxa"/>
              <w:start w:w="90" w:type="dxa"/>
              <w:bottom w:w="70" w:type="dxa"/>
              <w:end w:w="90" w:type="dxa"/>
            </w:tcMar>
          </w:tcPr>
          <w:p>
            <w:r>
              <w:rPr>
                <w:color w:val="20252E"/>
                <w:sz w:val="17"/>
              </w:rPr>
              <w:t>Ensures derived phenotype is one the breed/appearance renderer understands.</w:t>
            </w:r>
          </w:p>
        </w:tc>
      </w:tr>
    </w:tbl>
    <w:p/>
    <w:p>
      <w:pPr>
        <w:pStyle w:val="Heading1"/>
      </w:pPr>
      <w:r>
        <w:t>Lethal / nonviable combinations</w:t>
      </w:r>
    </w:p>
    <w:p>
      <w:pPr>
        <w:pStyle w:val="ListBullet"/>
        <w:spacing w:after="60"/>
      </w:pPr>
      <w:r>
        <w:t>Equoria should prevent known lethal/nonviable inherited outcomes rather than generating a doomed foal as punishment.</w:t>
      </w:r>
    </w:p>
    <w:p>
      <w:pPr>
        <w:pStyle w:val="ListBullet"/>
        <w:spacing w:after="60"/>
      </w:pPr>
      <w:r>
        <w:t>Frame Overo O/O was explicitly identified as a lethal combination to prevent.</w:t>
      </w:r>
    </w:p>
    <w:p>
      <w:pPr>
        <w:pStyle w:val="ListBullet"/>
        <w:spacing w:after="60"/>
      </w:pPr>
      <w:r>
        <w:t>Relevant Dominant White homozygous combinations were treated as disallowed; `W20/W20` appeared as an explicit example in the original rule file.</w:t>
      </w:r>
    </w:p>
    <w:p>
      <w:pPr>
        <w:pStyle w:val="ListBullet"/>
        <w:spacing w:after="60"/>
      </w:pPr>
      <w:r>
        <w:t>The robust implementation principle is data-driven disallowed combinations per allele/breed profile rather than hard-coding a single special case in UI logic.</w:t>
      </w:r>
    </w:p>
    <w:p>
      <w:pPr>
        <w:pStyle w:val="ListBullet"/>
        <w:spacing w:after="60"/>
      </w:pPr>
      <w:r>
        <w:t>If genetic knowledge changes, the breed/genetics data layer can be updated without rewriting the entire breeding engine.</w:t>
      </w:r>
    </w:p>
    <w:p>
      <w:pPr>
        <w:pStyle w:val="Heading1"/>
      </w:pPr>
      <w:r>
        <w:t>Markings and visible variation</w:t>
      </w:r>
    </w:p>
    <w:p>
      <w:pPr>
        <w:pStyle w:val="ListBullet"/>
        <w:spacing w:after="60"/>
      </w:pPr>
      <w:r>
        <w:t>Facial markings discussed: star, stripe, snip, blaze, bald face.</w:t>
      </w:r>
    </w:p>
    <w:p>
      <w:pPr>
        <w:pStyle w:val="ListBullet"/>
        <w:spacing w:after="60"/>
      </w:pPr>
      <w:r>
        <w:t>Marking frequency should be influenced by breed marking bias.</w:t>
      </w:r>
    </w:p>
    <w:p>
      <w:pPr>
        <w:pStyle w:val="ListBullet"/>
        <w:spacing w:after="60"/>
      </w:pPr>
      <w:r>
        <w:t>Shade and markings provide visual variety inside a genetically valid phenotype.</w:t>
      </w:r>
    </w:p>
    <w:p>
      <w:pPr>
        <w:pStyle w:val="ListBullet"/>
        <w:spacing w:after="60"/>
      </w:pPr>
      <w:r>
        <w:t>Appearance tokens/cosmetic edits must select only traits that the horse’s genotype/genetic bounds permit; they cannot “paint” an impossible genotype onto the horse.</w:t>
      </w:r>
    </w:p>
    <w:p>
      <w:pPr>
        <w:pStyle w:val="Heading1"/>
      </w:pPr>
      <w:r>
        <w:t>LP / pattern concepts: Snowflake and Frost</w:t>
      </w:r>
    </w:p>
    <w:p>
      <w:r>
        <w:t>Snowflake and Frost were discussed as LP-dependent visual-expression concepts rather than separate magical colors. Snowflake was framed as age-progressive white flecking on an otherwise solid/minimal-LP expression. Frost was framed as a subtler LP/varnish-roaning overlay or early Varnish Roan-style expression, potentially influenced by PATN.</w:t>
      </w:r>
    </w:p>
    <w:p>
      <w:r>
        <w:t>These were brainstorming/proposal-level details. They may coexist in the appearance model if the genetics research supports them, but should not be treated as locked allele definitions merely because the names appeared in design work.</w:t>
      </w:r>
    </w:p>
    <w:p>
      <w:pPr>
        <w:pStyle w:val="Heading1"/>
      </w:pPr>
      <w:r>
        <w:t>Snowdrop proposal</w:t>
      </w:r>
    </w:p>
    <w:p>
      <w:r>
        <w:t>A later rare-color proposal explored a Gypsy/Gypsy Vanner-specific autosomal recessive “Snowdrop” associated in the discussion with SLC45A2. A placeholder allele notation such as `Csno` was proposed: homozygous visible, heterozygous carrier without visible expression.</w:t>
      </w:r>
    </w:p>
    <w:p>
      <w:r>
        <w:t>This was a research/design proposal, not a locked Equoria genetics fact. Before implementation it needs real-world genetics verification, breed naming/registry policy and a decision about compound interactions with other dilution/white systems.</w:t>
      </w:r>
    </w:p>
    <w:p>
      <w:pPr>
        <w:pStyle w:val="Heading1"/>
      </w:pPr>
      <w:r>
        <w:t>Founder / generated horse genetics</w:t>
      </w:r>
    </w:p>
    <w:p>
      <w:pPr>
        <w:pStyle w:val="ListBullet"/>
        <w:spacing w:after="60"/>
      </w:pPr>
      <w:r>
        <w:t>Breed allele weights should drive the initial/generated population rather than uniform random color.</w:t>
      </w:r>
    </w:p>
    <w:p>
      <w:pPr>
        <w:pStyle w:val="ListBullet"/>
        <w:spacing w:after="60"/>
      </w:pPr>
      <w:r>
        <w:t>Store/generator horses can randomize genotype, stats and names while respecting breed restrictions.</w:t>
      </w:r>
    </w:p>
    <w:p>
      <w:pPr>
        <w:pStyle w:val="ListBullet"/>
        <w:spacing w:after="60"/>
      </w:pPr>
      <w:r>
        <w:t>Rare alleles should remain rare enough that breeding programs and discovery retain meaning.</w:t>
      </w:r>
    </w:p>
    <w:p>
      <w:pPr>
        <w:pStyle w:val="ListBullet"/>
        <w:spacing w:after="60"/>
      </w:pPr>
      <w:r>
        <w:t>Seed data should be versioned/repeatable so re-seeding a test database does not silently change breed genetics.</w:t>
      </w:r>
    </w:p>
    <w:p>
      <w:pPr>
        <w:pStyle w:val="Heading1"/>
      </w:pPr>
      <w:r>
        <w:t>Breeding preview and player literacy</w:t>
      </w:r>
    </w:p>
    <w:p>
      <w:pPr>
        <w:pStyle w:val="ListBullet"/>
        <w:spacing w:after="60"/>
      </w:pPr>
      <w:r>
        <w:t>Breeding UI may show color/genotype inheritance probabilities, carriers and possible outcomes.</w:t>
      </w:r>
    </w:p>
    <w:p>
      <w:pPr>
        <w:pStyle w:val="ListBullet"/>
        <w:spacing w:after="60"/>
      </w:pPr>
      <w:r>
        <w:t>Probabilities should be derived from parent alleles and actual breed restrictions, not hand-authored “rarity chance” text.</w:t>
      </w:r>
    </w:p>
    <w:p>
      <w:pPr>
        <w:pStyle w:val="ListBullet"/>
        <w:spacing w:after="60"/>
      </w:pPr>
      <w:r>
        <w:t>The UI can explain genotype/phenotype without hiding the genetic notation from advanced players.</w:t>
      </w:r>
    </w:p>
    <w:p>
      <w:pPr>
        <w:pStyle w:val="ListBullet"/>
        <w:spacing w:after="60"/>
      </w:pPr>
      <w:r>
        <w:t>A genetic discovery journal / carrier-discovery system was brainstormed as an optional collection/education layer.</w:t>
      </w:r>
    </w:p>
    <w:p>
      <w:pPr>
        <w:pStyle w:val="Heading1"/>
      </w:pPr>
      <w:r>
        <w:t>Rare-genetics ideas retained as exploratory</w:t>
      </w:r>
    </w:p>
    <w:p>
      <w:pPr>
        <w:pStyle w:val="ListBullet"/>
        <w:spacing w:after="60"/>
      </w:pPr>
      <w:r>
        <w:t>Hidden/recessive genes discovered through breeding.</w:t>
      </w:r>
    </w:p>
    <w:p>
      <w:pPr>
        <w:pStyle w:val="ListBullet"/>
        <w:spacing w:after="60"/>
      </w:pPr>
      <w:r>
        <w:t>Very low-chance mutations, provided they do not invalidate realism.</w:t>
      </w:r>
    </w:p>
    <w:p>
      <w:pPr>
        <w:pStyle w:val="ListBullet"/>
        <w:spacing w:after="60"/>
      </w:pPr>
      <w:r>
        <w:t>Ancestral/lineage conditions that reveal inherited traits.</w:t>
      </w:r>
    </w:p>
    <w:p>
      <w:pPr>
        <w:pStyle w:val="ListBullet"/>
        <w:spacing w:after="60"/>
      </w:pPr>
      <w:r>
        <w:t>Epigenetic expression interacting with development rather than rewriting genotype.</w:t>
      </w:r>
    </w:p>
    <w:p>
      <w:pPr>
        <w:pStyle w:val="ListBullet"/>
        <w:spacing w:after="60"/>
      </w:pPr>
      <w:r>
        <w:t>Community breed registries and carrier-trait display.</w:t>
      </w:r>
    </w:p>
    <w:p>
      <w:pPr>
        <w:pStyle w:val="ListBullet"/>
        <w:spacing w:after="60"/>
      </w:pPr>
      <w:r>
        <w:t>Crossbreeding recognition and how registry eligibility works for crosses.</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Genotype is the source of truth. Do not let cosmetic systems, rarity tables or image generation invent a color the horse cannot genetically express. Do not generate lethal foals as surprise punishment. Treat rare-color brainstorms as research items until separately verified and locked.</w:t>
            </w:r>
          </w:p>
        </w:tc>
      </w:tr>
    </w:tbl>
    <w:p/>
    <w:p>
      <w:pPr>
        <w:pStyle w:val="Heading1"/>
      </w:pPr>
      <w:r>
        <w:t>Open decisions still requiring an explicit lock</w:t>
      </w:r>
    </w:p>
    <w:p>
      <w:pPr>
        <w:pStyle w:val="ListBullet"/>
        <w:spacing w:after="60"/>
      </w:pPr>
      <w:r>
        <w:t>Final canonical locus list and notation for every launch breed.</w:t>
      </w:r>
    </w:p>
    <w:p>
      <w:pPr>
        <w:pStyle w:val="ListBullet"/>
        <w:spacing w:after="60"/>
      </w:pPr>
      <w:r>
        <w:t>Crossbreeding rules and breed/registry identity of crosses.</w:t>
      </w:r>
    </w:p>
    <w:p>
      <w:pPr>
        <w:pStyle w:val="ListBullet"/>
        <w:spacing w:after="60"/>
      </w:pPr>
      <w:r>
        <w:t>Carrier visibility and whether genetic testing is required.</w:t>
      </w:r>
    </w:p>
    <w:p>
      <w:pPr>
        <w:pStyle w:val="ListBullet"/>
        <w:spacing w:after="60"/>
      </w:pPr>
      <w:r>
        <w:t>Rare mutation policy and any breed-exclusive rare-color systems such as Snowdrop.</w:t>
      </w:r>
    </w:p>
    <w:p>
      <w:pPr>
        <w:pStyle w:val="ListBullet"/>
        <w:spacing w:after="60"/>
      </w:pPr>
      <w:r>
        <w:t>Final visual-render mapping for compound patterns/modifiers.</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genetics/breeding/foal/care/training/rider planning conversations</w:t>
      </w:r>
    </w:p>
    <w:p>
      <w:pPr>
        <w:pStyle w:val="ListBullet"/>
        <w:spacing w:after="60"/>
      </w:pPr>
      <w:r>
        <w:t>2026 browser-game reconstruction and current feature inventory</w:t>
      </w:r>
    </w:p>
    <w:p>
      <w:pPr>
        <w:pStyle w:val="ListBullet"/>
        <w:spacing w:after="60"/>
      </w:pPr>
      <w:r>
        <w:t>Uploaded Equoria system-overview and UI-planning documents</w:t>
      </w:r>
    </w:p>
    <w:p>
      <w:pPr>
        <w:pStyle w:val="ListBullet"/>
        <w:spacing w:after="60"/>
      </w:pPr>
      <w:r>
        <w:t>004_breeding_mechanics.mdc genetics constraints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genotype storage, breed profiles, phenotype resolution, validation, and tests</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Genetics engine contract recovered from project rules</w:t>
      </w:r>
    </w:p>
    <w:p>
      <w:pPr>
        <w:pStyle w:val="ListBullet"/>
        <w:keepLines/>
      </w:pPr>
      <w:r>
        <w:rPr>
          <w:b/>
        </w:rPr>
        <w:t xml:space="preserve">[SOURCE-EXPLICIT] </w:t>
      </w:r>
      <w:r>
        <w:t>Horse genotype is stored and mapped to phenotype; determinePhenotype() was expected to produce a valid phenotypeKeyForShade.</w:t>
      </w:r>
    </w:p>
    <w:p>
      <w:pPr>
        <w:pStyle w:val="ListBullet"/>
        <w:keepLines/>
      </w:pPr>
      <w:r>
        <w:rPr>
          <w:b/>
        </w:rPr>
        <w:t xml:space="preserve">[SOURCE-EXPLICIT] </w:t>
      </w:r>
      <w:r>
        <w:t>Phenotype resolution must validate against the horse’s breed profile rather than applying a universal unconstrained color generator.</w:t>
      </w:r>
    </w:p>
    <w:p>
      <w:pPr>
        <w:pStyle w:val="ListBullet"/>
        <w:keepLines/>
      </w:pPr>
      <w:r>
        <w:rPr>
          <w:b/>
        </w:rPr>
        <w:t xml:space="preserve">[SOURCE-EXPLICIT] </w:t>
      </w:r>
      <w:r>
        <w:t>Breed profiles require allowed_alleles, disallowed_combinations, allele_weights, marking_bias, shade_bias and boolean_modifiers_prevalence in JSONB.</w:t>
      </w:r>
    </w:p>
    <w:p>
      <w:pPr>
        <w:pStyle w:val="ListBullet"/>
        <w:keepLines/>
      </w:pPr>
      <w:r>
        <w:rPr>
          <w:b/>
        </w:rPr>
        <w:t xml:space="preserve">[SOURCE-EXPLICIT] </w:t>
      </w:r>
      <w:r>
        <w:t>Disallowed combinations are actively enforced; W20/W20 was supplied as an example of a prohibited combination in the historical rule file.</w:t>
      </w:r>
    </w:p>
    <w:p>
      <w:pPr>
        <w:pStyle w:val="ListBullet"/>
        <w:keepLines/>
      </w:pPr>
      <w:r>
        <w:rPr>
          <w:b/>
        </w:rPr>
        <w:t xml:space="preserve">[DERIVED-CONTRACT] </w:t>
      </w:r>
      <w:r>
        <w:t>Genetics has two separate invariants: inheritance must choose only legal parental alleles, and phenotype rendering must only output combinations allowed/representable by the breed profile.</w:t>
      </w:r>
    </w:p>
    <w:p>
      <w:pPr>
        <w:pStyle w:val="Heading2"/>
        <w:keepNext/>
        <w:keepLines/>
      </w:pPr>
      <w:r>
        <w:t>Breed population realism</w:t>
      </w:r>
    </w:p>
    <w:p>
      <w:pPr>
        <w:pStyle w:val="ListBullet"/>
        <w:keepLines/>
      </w:pPr>
      <w:r>
        <w:rPr>
          <w:b/>
        </w:rPr>
        <w:t xml:space="preserve">[SOURCE-EXPLICIT] </w:t>
      </w:r>
      <w:r>
        <w:t>Early repo/plans referenced breedRatings and breed temperament seed data plus breed-specific allele weights.</w:t>
      </w:r>
    </w:p>
    <w:p>
      <w:pPr>
        <w:pStyle w:val="ListBullet"/>
        <w:keepLines/>
      </w:pPr>
      <w:r>
        <w:rPr>
          <w:b/>
        </w:rPr>
        <w:t xml:space="preserve">[DERIVED-CONTRACT] </w:t>
      </w:r>
      <w:r>
        <w:t>Founder/random horse generation must sample from breed profiles rather than uniform allele rarity. Rare alleles should be rare because the breed data says so, not because a global rarity tier rolled “legendary.”</w:t>
      </w:r>
    </w:p>
    <w:p>
      <w:pPr>
        <w:pStyle w:val="ListBullet"/>
        <w:keepLines/>
      </w:pPr>
      <w:r>
        <w:rPr>
          <w:b/>
        </w:rPr>
        <w:t xml:space="preserve">[DERIVED-CONTRACT] </w:t>
      </w:r>
      <w:r>
        <w:t>Breed profile edits are high-impact data migrations: changing an allowed allele or weight affects future generation/breeding and may invalidate display assumptions for existing horses.</w:t>
      </w:r>
    </w:p>
    <w:p>
      <w:pPr>
        <w:pStyle w:val="Heading2"/>
        <w:keepNext/>
        <w:keepLines/>
      </w:pPr>
      <w:r>
        <w:t>Genetics UI truthfulness</w:t>
      </w:r>
    </w:p>
    <w:p>
      <w:pPr>
        <w:pStyle w:val="ListBullet"/>
        <w:keepLines/>
      </w:pPr>
      <w:r>
        <w:rPr>
          <w:b/>
        </w:rPr>
        <w:t xml:space="preserve">[SOURCE-EXPLICIT] </w:t>
      </w:r>
      <w:r>
        <w:t>Horse Profile genetics shows genotype/phenotype; breeding preview was expected to make genetics visually clear.</w:t>
      </w:r>
    </w:p>
    <w:p>
      <w:pPr>
        <w:pStyle w:val="ListBullet"/>
        <w:keepLines/>
      </w:pPr>
      <w:r>
        <w:rPr>
          <w:b/>
        </w:rPr>
        <w:t xml:space="preserve">[DERIVED-CONTRACT] </w:t>
      </w:r>
      <w:r>
        <w:t>Cosmetic/appearance systems must never display an impossible phenotype that contradicts stored genotype/breed rules. If appearance customization is permitted, its options must be filtered to genetically valid expressions.</w:t>
      </w:r>
    </w:p>
    <w:p>
      <w:pPr>
        <w:pStyle w:val="ListBullet"/>
        <w:keepLines/>
      </w:pPr>
      <w:r>
        <w:rPr>
          <w:b/>
        </w:rPr>
        <w:t xml:space="preserve">[DERIVED-CONTRACT] </w:t>
      </w:r>
      <w:r>
        <w:t>Carrier/lethal/disallowed information should be explainable in breeding UI. The game may hide advanced notation behind progressive disclosure, but not hide materially important breeding risk solely behind payment.</w:t>
      </w:r>
    </w:p>
    <w:p>
      <w:pPr>
        <w:pStyle w:val="Heading2"/>
        <w:keepNext/>
        <w:keepLines/>
      </w:pPr>
      <w:r>
        <w:t>Testing contract</w:t>
      </w:r>
    </w:p>
    <w:p>
      <w:pPr>
        <w:pStyle w:val="ListBullet"/>
        <w:keepLines/>
      </w:pPr>
      <w:r>
        <w:rPr>
          <w:b/>
        </w:rPr>
        <w:t xml:space="preserve">[SOURCE-EXPLICIT] </w:t>
      </w:r>
      <w:r>
        <w:t>The tech rules explicitly call for Jest coverage of the phenotype engine.</w:t>
      </w:r>
    </w:p>
    <w:p>
      <w:pPr>
        <w:pStyle w:val="ListBullet"/>
        <w:keepLines/>
      </w:pPr>
      <w:r>
        <w:rPr>
          <w:b/>
        </w:rPr>
        <w:t xml:space="preserve">[DERIVED-CONTRACT] </w:t>
      </w:r>
      <w:r>
        <w:t>Minimum test classes should include legal inheritance, disallowed combinations, breed-restricted alleles, deterministic genotype-&gt;phenotype mapping for known fixtures, marking/shade bias boundaries and migration safety for existing stored genotypes.</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004_breeding_mechanics.mdc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001_project_overview.mdc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002_tech_stack.mdc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007_frameworks.mdc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Horse Profile Screen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p>
      <w:r>
        <w:br w:type="page"/>
      </w:r>
    </w:p>
    <w:p>
      <w:pPr>
        <w:pStyle w:val="Heading1"/>
      </w:pPr>
      <w:r>
        <w:t>CANONICAL DECISION UPDATE — 6 OCTOBER 2026</w:t>
      </w:r>
    </w:p>
    <w:p>
      <w:pPr>
        <w:pStyle w:val="DeepNote"/>
      </w:pPr>
      <w:r>
        <w:t>Direct owner decisions from the 5–6 October 2026 design-lock session. These decisions outrank earlier mockups, examples and assistant-generated interpretations.</w:t>
      </w:r>
    </w:p>
    <w:p>
      <w:pPr>
        <w:pStyle w:val="Heading2"/>
      </w:pPr>
      <w:r>
        <w:t>Legacy-line benefit boundary</w:t>
      </w:r>
    </w:p>
    <w:p>
      <w:pPr>
        <w:pStyle w:val="Heading2"/>
      </w:pPr>
      <w:r>
        <w:t>Genetic truth versus lineage value</w:t>
      </w:r>
    </w:p>
    <w:p>
      <w:pPr>
        <w:pStyle w:val="ListBullet"/>
      </w:pPr>
      <w:r>
        <w:t>[LOCKED] Legacy/reputation systems do not directly improve genetic quality and do not replace Mendelian inheritance.</w:t>
      </w:r>
    </w:p>
    <w:p>
      <w:pPr>
        <w:pStyle w:val="ListBullet"/>
      </w:pPr>
      <w:r>
        <w:t>[CURRENT] A worthwhile benefit for established Legacy lines still needs to be designed. Its purpose is to preserve desirable historical line value without turning an ancestor badge into purchased/inherited genetic superiority.</w:t>
      </w:r>
    </w:p>
    <w:p>
      <w:pPr>
        <w:pStyle w:val="ListBullet"/>
      </w:pPr>
      <w:r>
        <w:t>[DERIVED-CONTRACT] Any future Legacy benefit must be represented separately from genotype/phenotype so players can tell genetic inheritance from historical-line recognition or development effects.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