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pPr>
      <w:r>
        <w:t>EQUORIA DESIGN BIBLE  •  VOLUME 09 OF 23</w:t>
      </w:r>
    </w:p>
    <w:p>
      <w:pPr>
        <w:pStyle w:val="Title"/>
      </w:pPr>
      <w:r>
        <w:t>9. Foal Development, Epigenetics, Bond &amp; Temperament</w:t>
      </w:r>
    </w:p>
    <w:p>
      <w:pPr>
        <w:jc w:val="left"/>
        <w:pBdr>
          <w:bottom w:val="single" w:sz="12" w:space="1" w:color="B99047"/>
        </w:pBdr>
      </w:pPr>
      <w:r>
        <w:t>Recovered design intent • canonical updates through 15 October 2026</w:t>
      </w:r>
    </w:p>
    <w:tbl>
      <w:tblPr>
        <w:tblW w:type="auto" w:w="0"/>
        <w:jc w:val="center"/>
        <w:tblLayout w:type="autofit"/>
        <w:tblLook w:firstColumn="1" w:firstRow="1" w:lastColumn="0" w:lastRow="0" w:noHBand="0" w:noVBand="1" w:val="04A0"/>
      </w:tblPr>
      <w:tblGrid>
        <w:gridCol w:w="9994"/>
      </w:tblGrid>
      <w:tr>
        <w:trPr>
          <w:cantSplit/>
        </w:trPr>
        <w:tc>
          <w:tcPr>
            <w:tcW w:type="dxa" w:w="9994"/>
            <w:shd w:fill="F3F0E8"/>
            <w:tcMar>
              <w:top w:w="130" w:type="dxa"/>
              <w:start w:w="150" w:type="dxa"/>
              <w:bottom w:w="130" w:type="dxa"/>
              <w:end w:w="150" w:type="dxa"/>
            </w:tcMar>
          </w:tcPr>
          <w:p>
            <w:r>
              <w:rPr>
                <w:b/>
                <w:color w:val="17233A"/>
                <w:sz w:val="21"/>
              </w:rPr>
              <w:t>Purpose of this volume</w:t>
              <w:br/>
            </w:r>
            <w:r>
              <w:rPr>
                <w:color w:val="20252E"/>
                <w:sz w:val="19"/>
              </w:rPr>
              <w:t>Reconstructs the unusually detailed early-life system: six-day foal-development windows, one action per day, bond/stress, missed-day handling, age milestones, developmental flags, temperament drift and proposed epigenetic/lineage influences.</w:t>
            </w:r>
          </w:p>
        </w:tc>
      </w:tr>
    </w:tbl>
    <w:p/>
    <w:p>
      <w:pPr>
        <w:pStyle w:val="Heading1"/>
      </w:pPr>
      <w:r>
        <w:t>Canonical status snapshot</w:t>
      </w: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715E31"/>
            <w:tcMar>
              <w:top w:w="80" w:type="dxa"/>
              <w:start w:w="90" w:type="dxa"/>
              <w:bottom w:w="80" w:type="dxa"/>
              <w:end w:w="90" w:type="dxa"/>
            </w:tcMar>
            <w:vAlign w:val="center"/>
          </w:tcPr>
          <w:p>
            <w:pPr>
              <w:jc w:val="center"/>
            </w:pPr>
            <w:r>
              <w:rPr>
                <w:rFonts w:ascii="Aptos" w:hAnsi="Aptos"/>
                <w:b/>
                <w:color w:val="FFFFFF"/>
                <w:sz w:val="16"/>
              </w:rPr>
              <w:t>PLANNED</w:t>
            </w:r>
          </w:p>
        </w:tc>
        <w:tc>
          <w:tcPr>
            <w:tcW w:type="dxa" w:w="4997"/>
            <w:shd w:fill="F7F8FA"/>
            <w:tcMar>
              <w:top w:w="80" w:type="dxa"/>
              <w:start w:w="120" w:type="dxa"/>
              <w:bottom w:w="80" w:type="dxa"/>
              <w:end w:w="120" w:type="dxa"/>
            </w:tcMar>
            <w:vAlign w:val="center"/>
          </w:tcPr>
          <w:p>
            <w:r>
              <w:rPr>
                <w:rFonts w:ascii="Aptos" w:hAnsi="Aptos"/>
                <w:color w:val="20252E"/>
                <w:sz w:val="19"/>
              </w:rPr>
              <w:t>Six-day newborn development window with one action/day and age milestones.</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355E3B"/>
            <w:tcMar>
              <w:top w:w="80" w:type="dxa"/>
              <w:start w:w="90" w:type="dxa"/>
              <w:bottom w:w="80" w:type="dxa"/>
              <w:end w:w="90" w:type="dxa"/>
            </w:tcMar>
            <w:vAlign w:val="center"/>
          </w:tcPr>
          <w:p>
            <w:pPr>
              <w:jc w:val="center"/>
            </w:pPr>
            <w:r>
              <w:rPr>
                <w:rFonts w:ascii="Aptos" w:hAnsi="Aptos"/>
                <w:b/>
                <w:color w:val="FFFFFF"/>
                <w:sz w:val="16"/>
              </w:rPr>
              <w:t>LOCKED</w:t>
            </w:r>
          </w:p>
        </w:tc>
        <w:tc>
          <w:tcPr>
            <w:tcW w:type="dxa" w:w="4997"/>
            <w:shd w:fill="F7F8FA"/>
            <w:tcMar>
              <w:top w:w="80" w:type="dxa"/>
              <w:start w:w="120" w:type="dxa"/>
              <w:bottom w:w="80" w:type="dxa"/>
              <w:end w:w="120" w:type="dxa"/>
            </w:tcMar>
            <w:vAlign w:val="center"/>
          </w:tcPr>
          <w:p>
            <w:r>
              <w:rPr>
                <w:rFonts w:ascii="Aptos" w:hAnsi="Aptos"/>
                <w:color w:val="20252E"/>
                <w:sz w:val="19"/>
              </w:rPr>
              <w:t>Bond 0–100, starts at 0, maximum +2/day under the later care rule.</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6A5775"/>
            <w:tcMar>
              <w:top w:w="80" w:type="dxa"/>
              <w:start w:w="90" w:type="dxa"/>
              <w:bottom w:w="80" w:type="dxa"/>
              <w:end w:w="90" w:type="dxa"/>
            </w:tcMar>
            <w:vAlign w:val="center"/>
          </w:tcPr>
          <w:p>
            <w:pPr>
              <w:jc w:val="center"/>
            </w:pPr>
            <w:r>
              <w:rPr>
                <w:rFonts w:ascii="Aptos" w:hAnsi="Aptos"/>
                <w:b/>
                <w:color w:val="FFFFFF"/>
                <w:sz w:val="16"/>
              </w:rPr>
              <w:t>EXPLORATORY</w:t>
            </w:r>
          </w:p>
        </w:tc>
        <w:tc>
          <w:tcPr>
            <w:tcW w:type="dxa" w:w="4997"/>
            <w:shd w:fill="F7F8FA"/>
            <w:tcMar>
              <w:top w:w="80" w:type="dxa"/>
              <w:start w:w="120" w:type="dxa"/>
              <w:bottom w:w="80" w:type="dxa"/>
              <w:end w:w="120" w:type="dxa"/>
            </w:tcMar>
            <w:vAlign w:val="center"/>
          </w:tcPr>
          <w:p>
            <w:r>
              <w:rPr>
                <w:rFonts w:ascii="Aptos" w:hAnsi="Aptos"/>
                <w:color w:val="20252E"/>
                <w:sz w:val="19"/>
              </w:rPr>
              <w:t>Specific temperament-drift and milestone probability formulas need final lock.</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9A6A23"/>
            <w:tcMar>
              <w:top w:w="80" w:type="dxa"/>
              <w:start w:w="90" w:type="dxa"/>
              <w:bottom w:w="80" w:type="dxa"/>
              <w:end w:w="90" w:type="dxa"/>
            </w:tcMar>
            <w:vAlign w:val="center"/>
          </w:tcPr>
          <w:p>
            <w:pPr>
              <w:jc w:val="center"/>
            </w:pPr>
            <w:r>
              <w:rPr>
                <w:rFonts w:ascii="Aptos" w:hAnsi="Aptos"/>
                <w:b/>
                <w:color w:val="FFFFFF"/>
                <w:sz w:val="16"/>
              </w:rPr>
              <w:t>OPEN</w:t>
            </w:r>
          </w:p>
        </w:tc>
        <w:tc>
          <w:tcPr>
            <w:tcW w:type="dxa" w:w="4997"/>
            <w:shd w:fill="F7F8FA"/>
            <w:tcMar>
              <w:top w:w="80" w:type="dxa"/>
              <w:start w:w="120" w:type="dxa"/>
              <w:bottom w:w="80" w:type="dxa"/>
              <w:end w:w="120" w:type="dxa"/>
            </w:tcMar>
            <w:vAlign w:val="center"/>
          </w:tcPr>
          <w:p>
            <w:r>
              <w:rPr>
                <w:rFonts w:ascii="Aptos" w:hAnsi="Aptos"/>
                <w:color w:val="20252E"/>
                <w:sz w:val="19"/>
              </w:rPr>
              <w:t>Global aging cadence and final temperament/flag schema.</w:t>
            </w:r>
          </w:p>
        </w:tc>
      </w:tr>
    </w:tbl>
    <w:p>
      <w:pPr>
        <w:spacing w:after="0"/>
      </w:pPr>
    </w:p>
    <w:p>
      <w:pPr>
        <w:pStyle w:val="Heading1"/>
      </w:pPr>
      <w:r>
        <w:t>Purpose of the foal system</w:t>
      </w:r>
    </w:p>
    <w:tbl>
      <w:tblPr>
        <w:tblW w:type="auto" w:w="0"/>
        <w:jc w:val="center"/>
        <w:tblLayout w:type="autofit"/>
        <w:tblLook w:firstColumn="1" w:firstRow="1" w:lastColumn="0" w:lastRow="0" w:noHBand="0" w:noVBand="1" w:val="04A0"/>
      </w:tblPr>
      <w:tblGrid>
        <w:gridCol w:w="9994"/>
      </w:tblGrid>
      <w:tr>
        <w:trPr>
          <w:cantSplit/>
        </w:trPr>
        <w:tc>
          <w:tcPr>
            <w:tcW w:type="dxa" w:w="9994"/>
            <w:shd w:fill="EEF4F7"/>
            <w:tcMar>
              <w:top w:w="130" w:type="dxa"/>
              <w:start w:w="150" w:type="dxa"/>
              <w:bottom w:w="130" w:type="dxa"/>
              <w:end w:w="150" w:type="dxa"/>
            </w:tcMar>
          </w:tcPr>
          <w:p>
            <w:r>
              <w:rPr>
                <w:b/>
                <w:color w:val="17233A"/>
                <w:sz w:val="21"/>
              </w:rPr>
              <w:t>Design intent</w:t>
              <w:br/>
            </w:r>
            <w:r>
              <w:rPr>
                <w:color w:val="20252E"/>
                <w:sz w:val="19"/>
              </w:rPr>
              <w:t>A foal is not meant to appear, wait behind a timer, and become an adult spreadsheet row. Early handling creates attachment and small developmental biases, while missing a day should reduce opportunity rather than destroy the horse.</w:t>
            </w:r>
          </w:p>
        </w:tc>
      </w:tr>
    </w:tbl>
    <w:p/>
    <w:p>
      <w:pPr>
        <w:pStyle w:val="Heading1"/>
      </w:pPr>
      <w:r>
        <w:t>Six-day newborn development timetable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512"/>
            <w:shd w:fill="17233A"/>
            <w:tcMar>
              <w:top w:w="80" w:type="dxa"/>
              <w:start w:w="90" w:type="dxa"/>
              <w:bottom w:w="80" w:type="dxa"/>
              <w:end w:w="90" w:type="dxa"/>
            </w:tcMar>
          </w:tcPr>
          <w:p>
            <w:r>
              <w:rPr>
                <w:b/>
                <w:color w:val="FFFFFF"/>
                <w:sz w:val="17"/>
              </w:rPr>
              <w:t>Window</w:t>
            </w:r>
          </w:p>
        </w:tc>
        <w:tc>
          <w:tcPr>
            <w:tcW w:type="dxa" w:w="2592"/>
            <w:shd w:fill="17233A"/>
            <w:tcMar>
              <w:top w:w="80" w:type="dxa"/>
              <w:start w:w="90" w:type="dxa"/>
              <w:bottom w:w="80" w:type="dxa"/>
              <w:end w:w="90" w:type="dxa"/>
            </w:tcMar>
          </w:tcPr>
          <w:p>
            <w:r>
              <w:rPr>
                <w:b/>
                <w:color w:val="FFFFFF"/>
                <w:sz w:val="17"/>
              </w:rPr>
              <w:t>Focus</w:t>
            </w:r>
          </w:p>
        </w:tc>
        <w:tc>
          <w:tcPr>
            <w:tcW w:type="dxa" w:w="6264"/>
            <w:shd w:fill="17233A"/>
            <w:tcMar>
              <w:top w:w="80" w:type="dxa"/>
              <w:start w:w="90" w:type="dxa"/>
              <w:bottom w:w="80" w:type="dxa"/>
              <w:end w:w="90" w:type="dxa"/>
            </w:tcMar>
          </w:tcPr>
          <w:p>
            <w:r>
              <w:rPr>
                <w:b/>
                <w:color w:val="FFFFFF"/>
                <w:sz w:val="17"/>
              </w:rPr>
              <w:t>Discussed actions / outcomes</w:t>
            </w:r>
          </w:p>
        </w:tc>
      </w:tr>
      <w:tr>
        <w:trPr>
          <w:cantSplit/>
        </w:trPr>
        <w:tc>
          <w:tcPr>
            <w:tcW w:type="dxa" w:w="1512"/>
            <w:tcMar>
              <w:top w:w="70" w:type="dxa"/>
              <w:start w:w="90" w:type="dxa"/>
              <w:bottom w:w="70" w:type="dxa"/>
              <w:end w:w="90" w:type="dxa"/>
            </w:tcMar>
          </w:tcPr>
          <w:p>
            <w:r>
              <w:rPr>
                <w:color w:val="20252E"/>
                <w:sz w:val="17"/>
              </w:rPr>
              <w:t>Day 0</w:t>
            </w:r>
          </w:p>
        </w:tc>
        <w:tc>
          <w:tcPr>
            <w:tcW w:type="dxa" w:w="2592"/>
            <w:tcMar>
              <w:top w:w="70" w:type="dxa"/>
              <w:start w:w="90" w:type="dxa"/>
              <w:bottom w:w="70" w:type="dxa"/>
              <w:end w:w="90" w:type="dxa"/>
            </w:tcMar>
          </w:tcPr>
          <w:p>
            <w:r>
              <w:rPr>
                <w:color w:val="20252E"/>
                <w:sz w:val="17"/>
              </w:rPr>
              <w:t>Birth / reveal</w:t>
            </w:r>
          </w:p>
        </w:tc>
        <w:tc>
          <w:tcPr>
            <w:tcW w:type="dxa" w:w="6264"/>
            <w:tcMar>
              <w:top w:w="70" w:type="dxa"/>
              <w:start w:w="90" w:type="dxa"/>
              <w:bottom w:w="70" w:type="dxa"/>
              <w:end w:w="90" w:type="dxa"/>
            </w:tcMar>
          </w:tcPr>
          <w:p>
            <w:r>
              <w:rPr>
                <w:color w:val="20252E"/>
                <w:sz w:val="17"/>
              </w:rPr>
              <w:t>Foal identity, sex, genetics/color, lineage and birth modifiers; developmental tasks begin after birth gate.</w:t>
            </w:r>
          </w:p>
        </w:tc>
      </w:tr>
      <w:tr>
        <w:trPr>
          <w:cantSplit/>
        </w:trPr>
        <w:tc>
          <w:tcPr>
            <w:tcW w:type="dxa" w:w="1512"/>
            <w:shd w:fill="F7F8FA"/>
            <w:tcMar>
              <w:top w:w="70" w:type="dxa"/>
              <w:start w:w="90" w:type="dxa"/>
              <w:bottom w:w="70" w:type="dxa"/>
              <w:end w:w="90" w:type="dxa"/>
            </w:tcMar>
          </w:tcPr>
          <w:p>
            <w:r>
              <w:rPr>
                <w:color w:val="20252E"/>
                <w:sz w:val="17"/>
              </w:rPr>
              <w:t>Days 1–2</w:t>
            </w:r>
          </w:p>
        </w:tc>
        <w:tc>
          <w:tcPr>
            <w:tcW w:type="dxa" w:w="2592"/>
            <w:shd w:fill="F7F8FA"/>
            <w:tcMar>
              <w:top w:w="70" w:type="dxa"/>
              <w:start w:w="90" w:type="dxa"/>
              <w:bottom w:w="70" w:type="dxa"/>
              <w:end w:w="90" w:type="dxa"/>
            </w:tcMar>
          </w:tcPr>
          <w:p>
            <w:r>
              <w:rPr>
                <w:color w:val="20252E"/>
                <w:sz w:val="17"/>
              </w:rPr>
              <w:t>Imprinting / trust</w:t>
            </w:r>
          </w:p>
        </w:tc>
        <w:tc>
          <w:tcPr>
            <w:tcW w:type="dxa" w:w="6264"/>
            <w:shd w:fill="F7F8FA"/>
            <w:tcMar>
              <w:top w:w="70" w:type="dxa"/>
              <w:start w:w="90" w:type="dxa"/>
              <w:bottom w:w="70" w:type="dxa"/>
              <w:end w:w="90" w:type="dxa"/>
            </w:tcMar>
          </w:tcPr>
          <w:p>
            <w:r>
              <w:rPr>
                <w:color w:val="20252E"/>
                <w:sz w:val="17"/>
              </w:rPr>
              <w:t>Early Trust Building, gentle touch/routine presence, halter/handling-style imprinting; bond/trust foundation.</w:t>
            </w:r>
          </w:p>
        </w:tc>
      </w:tr>
      <w:tr>
        <w:trPr>
          <w:cantSplit/>
        </w:trPr>
        <w:tc>
          <w:tcPr>
            <w:tcW w:type="dxa" w:w="1512"/>
            <w:tcMar>
              <w:top w:w="70" w:type="dxa"/>
              <w:start w:w="90" w:type="dxa"/>
              <w:bottom w:w="70" w:type="dxa"/>
              <w:end w:w="90" w:type="dxa"/>
            </w:tcMar>
          </w:tcPr>
          <w:p>
            <w:r>
              <w:rPr>
                <w:color w:val="20252E"/>
                <w:sz w:val="17"/>
              </w:rPr>
              <w:t>Days 3–4</w:t>
            </w:r>
          </w:p>
        </w:tc>
        <w:tc>
          <w:tcPr>
            <w:tcW w:type="dxa" w:w="2592"/>
            <w:tcMar>
              <w:top w:w="70" w:type="dxa"/>
              <w:start w:w="90" w:type="dxa"/>
              <w:bottom w:w="70" w:type="dxa"/>
              <w:end w:w="90" w:type="dxa"/>
            </w:tcMar>
          </w:tcPr>
          <w:p>
            <w:r>
              <w:rPr>
                <w:color w:val="20252E"/>
                <w:sz w:val="17"/>
              </w:rPr>
              <w:t>Socialization / environment</w:t>
            </w:r>
          </w:p>
        </w:tc>
        <w:tc>
          <w:tcPr>
            <w:tcW w:type="dxa" w:w="6264"/>
            <w:tcMar>
              <w:top w:w="70" w:type="dxa"/>
              <w:start w:w="90" w:type="dxa"/>
              <w:bottom w:w="70" w:type="dxa"/>
              <w:end w:w="90" w:type="dxa"/>
            </w:tcMar>
          </w:tcPr>
          <w:p>
            <w:r>
              <w:rPr>
                <w:color w:val="20252E"/>
                <w:sz w:val="17"/>
              </w:rPr>
              <w:t>Leading, tying, hoof handling, desensitization, group calmness / ordinary stable exposure.</w:t>
            </w:r>
          </w:p>
        </w:tc>
      </w:tr>
      <w:tr>
        <w:trPr>
          <w:cantSplit/>
        </w:trPr>
        <w:tc>
          <w:tcPr>
            <w:tcW w:type="dxa" w:w="1512"/>
            <w:shd w:fill="F7F8FA"/>
            <w:tcMar>
              <w:top w:w="70" w:type="dxa"/>
              <w:start w:w="90" w:type="dxa"/>
              <w:bottom w:w="70" w:type="dxa"/>
              <w:end w:w="90" w:type="dxa"/>
            </w:tcMar>
          </w:tcPr>
          <w:p>
            <w:r>
              <w:rPr>
                <w:color w:val="20252E"/>
                <w:sz w:val="17"/>
              </w:rPr>
              <w:t>Days 5–6</w:t>
            </w:r>
          </w:p>
        </w:tc>
        <w:tc>
          <w:tcPr>
            <w:tcW w:type="dxa" w:w="2592"/>
            <w:shd w:fill="F7F8FA"/>
            <w:tcMar>
              <w:top w:w="70" w:type="dxa"/>
              <w:start w:w="90" w:type="dxa"/>
              <w:bottom w:w="70" w:type="dxa"/>
              <w:end w:w="90" w:type="dxa"/>
            </w:tcMar>
          </w:tcPr>
          <w:p>
            <w:r>
              <w:rPr>
                <w:color w:val="20252E"/>
                <w:sz w:val="17"/>
              </w:rPr>
              <w:t>Fear, manners, weaning readiness</w:t>
            </w:r>
          </w:p>
        </w:tc>
        <w:tc>
          <w:tcPr>
            <w:tcW w:type="dxa" w:w="6264"/>
            <w:shd w:fill="F7F8FA"/>
            <w:tcMar>
              <w:top w:w="70" w:type="dxa"/>
              <w:start w:w="90" w:type="dxa"/>
              <w:bottom w:w="70" w:type="dxa"/>
              <w:end w:w="90" w:type="dxa"/>
            </w:tcMar>
          </w:tcPr>
          <w:p>
            <w:r>
              <w:rPr>
                <w:color w:val="20252E"/>
                <w:sz w:val="17"/>
              </w:rPr>
              <w:t>Confidence walks, showground exposure/walkalong, manners, calmness and final early-readiness checks.</w:t>
            </w:r>
          </w:p>
        </w:tc>
      </w:tr>
    </w:tbl>
    <w:p/>
    <w:p>
      <w:pPr>
        <w:pStyle w:val="Heading1"/>
      </w:pPr>
      <w:r>
        <w:t>Daily action rule</w:t>
      </w:r>
    </w:p>
    <w:p>
      <w:pPr>
        <w:pStyle w:val="ListBullet"/>
        <w:spacing w:after="60"/>
      </w:pPr>
      <w:r>
        <w:t>One developmental/care-style action per foal per day was the intended cadence for the newborn window.</w:t>
      </w:r>
    </w:p>
    <w:p>
      <w:pPr>
        <w:pStyle w:val="ListBullet"/>
        <w:spacing w:after="60"/>
      </w:pPr>
      <w:r>
        <w:t>Birth day itself gates the first available task; do not accidentally allow six stacked actions immediately after foaling.</w:t>
      </w:r>
    </w:p>
    <w:p>
      <w:pPr>
        <w:pStyle w:val="ListBullet"/>
        <w:spacing w:after="60"/>
      </w:pPr>
      <w:r>
        <w:t>Missed actions reduce available bonuses/progress rather than causing punitive permanent damage.</w:t>
      </w:r>
    </w:p>
    <w:p>
      <w:pPr>
        <w:pStyle w:val="ListBullet"/>
        <w:spacing w:after="60"/>
      </w:pPr>
      <w:r>
        <w:t>A two-day grace concept appeared later; more than two missed days could reset a streak/progress track. Exact streak implementation needs a final lock.</w:t>
      </w:r>
    </w:p>
    <w:p>
      <w:pPr>
        <w:pStyle w:val="Heading1"/>
      </w:pPr>
      <w:r>
        <w:t>Development actions discussed</w:t>
      </w:r>
    </w:p>
    <w:p>
      <w:pPr>
        <w:pStyle w:val="ListBullet"/>
        <w:spacing w:after="60"/>
      </w:pPr>
      <w:r>
        <w:t>Desensitization.</w:t>
      </w:r>
    </w:p>
    <w:p>
      <w:pPr>
        <w:pStyle w:val="ListBullet"/>
        <w:spacing w:after="60"/>
      </w:pPr>
      <w:r>
        <w:t>Leading.</w:t>
      </w:r>
    </w:p>
    <w:p>
      <w:pPr>
        <w:pStyle w:val="ListBullet"/>
        <w:spacing w:after="60"/>
      </w:pPr>
      <w:r>
        <w:t>Tying.</w:t>
      </w:r>
    </w:p>
    <w:p>
      <w:pPr>
        <w:pStyle w:val="ListBullet"/>
        <w:spacing w:after="60"/>
      </w:pPr>
      <w:r>
        <w:t>Hoof handling.</w:t>
      </w:r>
    </w:p>
    <w:p>
      <w:pPr>
        <w:pStyle w:val="ListBullet"/>
        <w:spacing w:after="60"/>
      </w:pPr>
      <w:r>
        <w:t>Showground exposure / walkalong.</w:t>
      </w:r>
    </w:p>
    <w:p>
      <w:pPr>
        <w:pStyle w:val="ListBullet"/>
        <w:spacing w:after="60"/>
      </w:pPr>
      <w:r>
        <w:t>Confidence walks.</w:t>
      </w:r>
    </w:p>
    <w:p>
      <w:pPr>
        <w:pStyle w:val="ListBullet"/>
        <w:spacing w:after="60"/>
      </w:pPr>
      <w:r>
        <w:t>Early Trust Building / touch / routine presence.</w:t>
      </w:r>
    </w:p>
    <w:p>
      <w:pPr>
        <w:pStyle w:val="ListBullet"/>
        <w:spacing w:after="60"/>
      </w:pPr>
      <w:r>
        <w:t>Halter and general handling.</w:t>
      </w:r>
    </w:p>
    <w:p>
      <w:pPr>
        <w:pStyle w:val="ListBullet"/>
        <w:spacing w:after="60"/>
      </w:pPr>
      <w:r>
        <w:t>Advanced grooming/braiding as the horse gets older.</w:t>
      </w:r>
    </w:p>
    <w:p>
      <w:pPr>
        <w:pStyle w:val="ListBullet"/>
        <w:spacing w:after="60"/>
      </w:pPr>
      <w:r>
        <w:t>Group calmness and social exposure.</w:t>
      </w:r>
    </w:p>
    <w:p>
      <w:pPr>
        <w:pStyle w:val="ListBullet"/>
        <w:spacing w:after="60"/>
      </w:pPr>
      <w:r>
        <w:t>At around age 2: tack desensitization and more advanced presentation work.</w:t>
      </w:r>
    </w:p>
    <w:p>
      <w:pPr>
        <w:pStyle w:val="ListBullet"/>
        <w:spacing w:after="60"/>
      </w:pPr>
      <w:r>
        <w:t>Lunging and long-lining were reserved for trainer/professional work rather than casual daily foal care.</w:t>
      </w:r>
    </w:p>
    <w:p>
      <w:pPr>
        <w:pStyle w:val="Heading1"/>
      </w:pPr>
      <w:r>
        <w:t>Bond system — canonical later rule and older values</w:t>
      </w:r>
    </w:p>
    <w:p>
      <w:r>
        <w:t>The later explicit care design set bond on a 0–100 scale, beginning at 0, with a maximum of +2 bond per horse per day. This should outrank older brainstorming that used larger individual-action values such as grooming +5, special care +8–10 or massage +10.</w:t>
      </w:r>
    </w:p>
    <w:p>
      <w:r>
        <w:t>Those older values remain useful evidence that different care types were once imagined as differentiated, but the +2/day cap is the safer current design baseline until explicitly revised.</w:t>
      </w:r>
    </w:p>
    <w:p>
      <w:pPr>
        <w:pStyle w:val="Heading1"/>
      </w:pPr>
      <w:r>
        <w:t>Stress and temperament interaction</w:t>
      </w:r>
    </w:p>
    <w:p>
      <w:pPr>
        <w:pStyle w:val="ListBullet"/>
        <w:spacing w:after="60"/>
      </w:pPr>
      <w:r>
        <w:t>Stress was discussed on a 0–100 scale.</w:t>
      </w:r>
    </w:p>
    <w:p>
      <w:pPr>
        <w:pStyle w:val="ListBullet"/>
        <w:spacing w:after="60"/>
      </w:pPr>
      <w:r>
        <w:t>A proposal used stress &gt;70 or bond &lt;30 as a condition for roughly 10% weekly risk of temperament drift/negative developmental expression.</w:t>
      </w:r>
    </w:p>
    <w:p>
      <w:pPr>
        <w:pStyle w:val="ListBullet"/>
        <w:spacing w:after="60"/>
      </w:pPr>
      <w:r>
        <w:t>Stress &lt;30 plus good feed was proposed to provide roughly 10% chance of resilient/high-immunity positive flags.</w:t>
      </w:r>
    </w:p>
    <w:p>
      <w:pPr>
        <w:pStyle w:val="ListBullet"/>
        <w:spacing w:after="60"/>
      </w:pPr>
      <w:r>
        <w:t>These thresholds/probabilities were accepted as system direction in discussion but still need a single final balance table before implementation.</w:t>
      </w:r>
    </w:p>
    <w:p>
      <w:pPr>
        <w:pStyle w:val="ListBullet"/>
        <w:spacing w:after="60"/>
      </w:pPr>
      <w:r>
        <w:t>Rider retirement should not punish or permanently destabilize the horse; rider lifecycle and horse emotional state must remain separate.</w:t>
      </w:r>
    </w:p>
    <w:p>
      <w:pPr>
        <w:pStyle w:val="Heading1"/>
      </w:pPr>
      <w:r>
        <w:t>Temperament set recovered</w:t>
      </w:r>
    </w:p>
    <w:p>
      <w:pPr>
        <w:pStyle w:val="ListBullet"/>
        <w:spacing w:after="60"/>
      </w:pPr>
      <w:r>
        <w:t>Spirited.</w:t>
      </w:r>
    </w:p>
    <w:p>
      <w:pPr>
        <w:pStyle w:val="ListBullet"/>
        <w:spacing w:after="60"/>
      </w:pPr>
      <w:r>
        <w:t>Nervous.</w:t>
      </w:r>
    </w:p>
    <w:p>
      <w:pPr>
        <w:pStyle w:val="ListBullet"/>
        <w:spacing w:after="60"/>
      </w:pPr>
      <w:r>
        <w:t>Calm.</w:t>
      </w:r>
    </w:p>
    <w:p>
      <w:pPr>
        <w:pStyle w:val="ListBullet"/>
        <w:spacing w:after="60"/>
      </w:pPr>
      <w:r>
        <w:t>Bold.</w:t>
      </w:r>
    </w:p>
    <w:p>
      <w:pPr>
        <w:pStyle w:val="ListBullet"/>
        <w:spacing w:after="60"/>
      </w:pPr>
      <w:r>
        <w:t>Steady.</w:t>
      </w:r>
    </w:p>
    <w:p>
      <w:pPr>
        <w:pStyle w:val="ListBullet"/>
        <w:spacing w:after="60"/>
      </w:pPr>
      <w:r>
        <w:t>Independent.</w:t>
      </w:r>
    </w:p>
    <w:p>
      <w:pPr>
        <w:pStyle w:val="ListBullet"/>
        <w:spacing w:after="60"/>
      </w:pPr>
      <w:r>
        <w:t>Reactive.</w:t>
      </w:r>
    </w:p>
    <w:p>
      <w:pPr>
        <w:pStyle w:val="ListBullet"/>
        <w:spacing w:after="60"/>
      </w:pPr>
      <w:r>
        <w:t>Stubborn.</w:t>
      </w:r>
    </w:p>
    <w:p>
      <w:pPr>
        <w:pStyle w:val="ListBullet"/>
        <w:spacing w:after="60"/>
      </w:pPr>
      <w:r>
        <w:t>Playful.</w:t>
      </w:r>
    </w:p>
    <w:p>
      <w:pPr>
        <w:pStyle w:val="ListBullet"/>
        <w:spacing w:after="60"/>
      </w:pPr>
      <w:r>
        <w:t>Lazy.</w:t>
      </w:r>
    </w:p>
    <w:p>
      <w:pPr>
        <w:pStyle w:val="ListBullet"/>
        <w:spacing w:after="60"/>
      </w:pPr>
      <w:r>
        <w:t>Aggressive.</w:t>
      </w:r>
    </w:p>
    <w:p>
      <w:pPr>
        <w:pStyle w:val="ListBullet"/>
        <w:spacing w:after="60"/>
      </w:pPr>
      <w:r>
        <w:t>This list was accepted in an older temperament database discussion, but the project also uses “trait” and developmental flags. Final schema must define whether temperament is one categorical type, multiple dimensions, or a category plus trait tags.</w:t>
      </w:r>
    </w:p>
    <w:p>
      <w:pPr>
        <w:pStyle w:val="Heading1"/>
      </w:pPr>
      <w:r>
        <w:t>Developmental / epigenetic flags discussed</w:t>
      </w:r>
    </w:p>
    <w:p>
      <w:pPr>
        <w:pStyle w:val="ListBullet"/>
        <w:spacing w:after="60"/>
      </w:pPr>
      <w:r>
        <w:t>Brave / Fearful.</w:t>
      </w:r>
    </w:p>
    <w:p>
      <w:pPr>
        <w:pStyle w:val="ListBullet"/>
        <w:spacing w:after="60"/>
      </w:pPr>
      <w:r>
        <w:t>Confident / Insecure.</w:t>
      </w:r>
    </w:p>
    <w:p>
      <w:pPr>
        <w:pStyle w:val="ListBullet"/>
        <w:spacing w:after="60"/>
      </w:pPr>
      <w:r>
        <w:t>Affectionate / Skittish.</w:t>
      </w:r>
    </w:p>
    <w:p>
      <w:pPr>
        <w:pStyle w:val="ListBullet"/>
        <w:spacing w:after="60"/>
      </w:pPr>
      <w:r>
        <w:t>Resilient / Reactive / Fragile.</w:t>
      </w:r>
    </w:p>
    <w:p>
      <w:pPr>
        <w:pStyle w:val="ListBullet"/>
        <w:spacing w:after="60"/>
      </w:pPr>
      <w:r>
        <w:t>High Immunity / Low Immunity.</w:t>
      </w:r>
    </w:p>
    <w:p>
      <w:pPr>
        <w:pStyle w:val="ListBullet"/>
        <w:spacing w:after="60"/>
      </w:pPr>
      <w:r>
        <w:t>People Trusting.</w:t>
      </w:r>
    </w:p>
    <w:p>
      <w:pPr>
        <w:pStyle w:val="ListBullet"/>
        <w:spacing w:after="60"/>
      </w:pPr>
      <w:r>
        <w:t>Show Calm / Crowd Ready.</w:t>
      </w:r>
    </w:p>
    <w:p>
      <w:pPr>
        <w:pStyle w:val="ListBullet"/>
        <w:spacing w:after="60"/>
      </w:pPr>
      <w:r>
        <w:t>Bonded / Presentation Boosted.</w:t>
      </w:r>
    </w:p>
    <w:p>
      <w:pPr>
        <w:pStyle w:val="ListBullet"/>
        <w:spacing w:after="60"/>
      </w:pPr>
      <w:r>
        <w:t>Injury Prone appeared as a possible flag even though training injuries were later prohibited; if retained it must affect only legitimate injury sources such as competition.</w:t>
      </w:r>
    </w:p>
    <w:p>
      <w:pPr>
        <w:pStyle w:val="ListBullet"/>
        <w:spacing w:after="60"/>
      </w:pPr>
      <w:r>
        <w:t>Legacy Talent was proposed as a lineage-development outcome.</w:t>
      </w:r>
    </w:p>
    <w:p>
      <w:pPr>
        <w:pStyle w:val="Heading1"/>
      </w:pPr>
      <w:r>
        <w:t>Age milestones beyond the six-day window</w:t>
      </w:r>
    </w:p>
    <w:p>
      <w:pPr>
        <w:pStyle w:val="ListBullet"/>
        <w:spacing w:after="60"/>
      </w:pPr>
      <w:r>
        <w:t>Milestone ages 1, 2 and 3 were discussed for progressively locking in developmental effects and readiness.</w:t>
      </w:r>
    </w:p>
    <w:p>
      <w:pPr>
        <w:pStyle w:val="ListBullet"/>
        <w:spacing w:after="60"/>
      </w:pPr>
      <w:r>
        <w:t>One historical implementation concept advanced horses +1 year every 7 real days. That aging cadence is not currently locked for the browser game.</w:t>
      </w:r>
    </w:p>
    <w:p>
      <w:pPr>
        <w:pStyle w:val="ListBullet"/>
        <w:spacing w:after="60"/>
      </w:pPr>
      <w:r>
        <w:t>Around age 2, tack desensitization, advanced grooming/braiding, group calmness and showground walkalong become appropriate.</w:t>
      </w:r>
    </w:p>
    <w:p>
      <w:pPr>
        <w:pStyle w:val="ListBullet"/>
        <w:spacing w:after="60"/>
      </w:pPr>
      <w:r>
        <w:t>At age 3, the horse crosses into adult training/rider/competition eligibility under current rules.</w:t>
      </w:r>
    </w:p>
    <w:p>
      <w:pPr>
        <w:pStyle w:val="Heading1"/>
      </w:pPr>
      <w:r>
        <w:t>Youngstock activities by age: 0, 1 and 2</w:t>
      </w:r>
    </w:p>
    <w:p>
      <w:pPr/>
      <w:r>
        <w:t>The earlier conversations described a broader youngstock program than the short age-milestone summary above. The activity lists below preserve that recovered design material while keeping uncertain staff/effect details visibly separate from locked rules.</w:t>
      </w:r>
    </w:p>
    <w:p>
      <w:pPr>
        <w:pStyle w:val="ListBullet"/>
      </w:pPr>
      <w:r>
        <w:t>[RECOVERED-CANON] Age 0 / newborn window: birth-day gating followed by imprinting/trust, socialization/environment work, then confidence/manners/weaning-readiness work. Handling examples included gentle touch and brushing, hoof touching/handling, halter introduction, lead-rope work, ordinary stable exposure, trailer/novel-environment exposure, saddle-pad/noise desensitization, manners and weaning preparation.</w:t>
      </w:r>
    </w:p>
    <w:p>
      <w:pPr>
        <w:pStyle w:val="ListBullet"/>
      </w:pPr>
      <w:r>
        <w:t>[RECOVERED-CANON] The care cadence was resolved as up to one care/development interaction per foal per day. Skipping an interaction means fewer bonding/development opportunities or slower progress; it does not directly damage the foal.</w:t>
      </w:r>
    </w:p>
    <w:p>
      <w:pPr>
        <w:pStyle w:val="ListBullet"/>
      </w:pPr>
      <w:r>
        <w:t>[RECOVERED-CANON] Age 1 expands routine youngstock handling. Recovered activities include desensitization, leading, tying, hoof handling, confidence walks, trust-building work and showground/environment exposure. These activities were intended to build handling readiness, confidence and calmness rather than function as adult stat training.</w:t>
      </w:r>
    </w:p>
    <w:p>
      <w:pPr>
        <w:pStyle w:val="ListBullet"/>
      </w:pPr>
      <w:r>
        <w:t>[HISTORICAL/PROPOSAL] Age-1 activity effects were discussed in terms of confidence/fear expression, readiness, Show Calm/Crowd Ready, resilience and bond. Exact effect sizes and probability mappings were not finally locked.</w:t>
      </w:r>
    </w:p>
    <w:p>
      <w:pPr>
        <w:pStyle w:val="ListBullet"/>
      </w:pPr>
      <w:r>
        <w:t>[RECOVERED-CANON] Age 2 expands presentation and pre-training familiarity: tack desensitization, advanced grooming and braiding, group-calmness/social exposure and showground walk-alongs were repeatedly discussed as appropriate youngstock activities.</w:t>
      </w:r>
    </w:p>
    <w:p>
      <w:pPr>
        <w:pStyle w:val="ListBullet"/>
      </w:pPr>
      <w:r>
        <w:t>[HISTORICAL/PROPOSAL] Confined-space/trust exercises also appeared in the age-2 activity set, aimed at confidence and handling reliability. The exact activity definition and mechanical reward were not finally locked.</w:t>
      </w:r>
    </w:p>
    <w:p>
      <w:pPr>
        <w:pStyle w:val="ListBullet"/>
      </w:pPr>
      <w:r>
        <w:t>[DERIVED-CONTRACT] Age-0/1/2 care and enrichment must remain distinct from adult discipline training. These actions may shape bond, stress, handling readiness and developmental expression, but they must not become an alternate channel for repeatedly adding adult competition stats or discipline bonuses.</w:t>
      </w:r>
    </w:p>
    <w:p>
      <w:pPr>
        <w:pStyle w:val="Heading1"/>
      </w:pPr>
      <w:r>
        <w:t>Enrichment, grooming and groom involvement</w:t>
      </w:r>
    </w:p>
    <w:p>
      <w:pPr>
        <w:pStyle w:val="ListBullet"/>
      </w:pPr>
      <w:r>
        <w:t>[RECOVERED-CANON] Earlier planning separated enrichment-style interactions from grooming/care interactions and routed them by age. The recovered architecture used enrichment most heavily in the foal/very-young stage and expanded grooming/handling choices through ages 1–2 before adult training eligibility at 3.</w:t>
      </w:r>
    </w:p>
    <w:p>
      <w:pPr>
        <w:pStyle w:val="ListBullet"/>
      </w:pPr>
      <w:r>
        <w:t>[RECOVERED-CANON] Care consistency matters developmentally, but the system should reward participation rather than punish absence. Repeated appropriate care can improve bond and developmental opportunities; missed days primarily forfeit those opportunities.</w:t>
      </w:r>
    </w:p>
    <w:p>
      <w:pPr>
        <w:pStyle w:val="ListBullet"/>
      </w:pPr>
      <w:r>
        <w:t>[RECOVERED-CANON] Sufficient bond before age 3 was discussed as part of readiness for later showing/training participation. The exact bond threshold is not recovered as a final locked number and should remain OPEN until deliberately specified.</w:t>
      </w:r>
    </w:p>
    <w:p>
      <w:pPr>
        <w:pStyle w:val="ListBullet"/>
      </w:pPr>
      <w:r>
        <w:t>[RECOVERED-CANON] Grooming was also discussed as a recovery tool for burnout/stress: two to three consecutive days of grooming/care could clear burnout in the historical design. This should be retained as recovered intent but reconciled with the final burnout/stress model before implementation.</w:t>
      </w:r>
    </w:p>
    <w:p>
      <w:pPr>
        <w:pStyle w:val="ListBullet"/>
      </w:pPr>
      <w:r>
        <w:t>[HISTORICAL/PROPOSAL] Groom NPCs were envisioned as active contributors to foal/youngstock care rather than cosmetic staff. Discussed duties included imprinting/socialization support, fear-period handling, halter breaking, calm leading, routine grooming and stress-reducing care, with groom care potentially contributing to bond and developmental consistency.</w:t>
      </w:r>
    </w:p>
    <w:p>
      <w:pPr>
        <w:pStyle w:val="ListBullet"/>
      </w:pPr>
      <w:r>
        <w:t>[HISTORICAL/PROPOSAL] A two-day minimum groom-assignment concept appeared around youngstock grooming/show-handling work. Because this was not recovered as a later explicit user lock, assignment duration and automated groom cadence remain OPEN.</w:t>
      </w:r>
    </w:p>
    <w:p>
      <w:pPr>
        <w:pStyle w:val="ListBullet"/>
      </w:pPr>
      <w:r>
        <w:t>[DERIVED-CONTRACT] Every automated or staff-performed youngstock interaction should be logged with actor, activity, date/age window and resulting bond/stress/developmental change so player actions and groom actions cannot silently double-count the same daily opportunity.</w:t>
      </w:r>
    </w:p>
    <w:p>
      <w:pPr>
        <w:pStyle w:val="ListBullet"/>
      </w:pPr>
      <w:r>
        <w:t>[DERIVED-CONTRACT] If player care and groom care share the same daily developmental slot, the server must enforce mutual exclusivity for that slot. If future design intentionally gives grooms a separate passive-care channel, that must be explicitly defined rather than inferred.</w:t>
      </w:r>
    </w:p>
    <w:p>
      <w:pPr>
        <w:pStyle w:val="Heading1"/>
      </w:pPr>
      <w:r>
        <w:t>Proposed milestone probability model</w:t>
      </w:r>
    </w:p>
    <w:p>
      <w:r>
        <w:t>A later proposal used +5% chance per relevant developmental day toward a trait/milestone effect, capped after roughly 10 days, with an additional +10% for a seven-day streak and an overall ~60% cap before the milestone locked. This is preserved as a proposal, not a canonical formula.</w:t>
      </w:r>
    </w:p>
    <w:p>
      <w:r>
        <w:t>The important intent is that repeated appropriate handling nudges development without making one missed click fatal or making every perfectly managed foal identical.</w:t>
      </w:r>
    </w:p>
    <w:p>
      <w:pPr>
        <w:pStyle w:val="Heading1"/>
      </w:pPr>
      <w:r>
        <w:t>Foal Development surface</w:t>
      </w:r>
    </w:p>
    <w:p>
      <w:pPr>
        <w:pStyle w:val="ListBullet"/>
        <w:spacing w:after="60"/>
      </w:pPr>
      <w:r>
        <w:t>Current developmental window / age milestone.</w:t>
      </w:r>
    </w:p>
    <w:p>
      <w:pPr>
        <w:pStyle w:val="ListBullet"/>
        <w:spacing w:after="60"/>
      </w:pPr>
      <w:r>
        <w:t>Today’s available task and whether already completed.</w:t>
      </w:r>
    </w:p>
    <w:p>
      <w:pPr>
        <w:pStyle w:val="ListBullet"/>
        <w:spacing w:after="60"/>
      </w:pPr>
      <w:r>
        <w:t>Bond and stress values.</w:t>
      </w:r>
    </w:p>
    <w:p>
      <w:pPr>
        <w:pStyle w:val="ListBullet"/>
        <w:spacing w:after="60"/>
      </w:pPr>
      <w:r>
        <w:t>History of completed/missed actions.</w:t>
      </w:r>
    </w:p>
    <w:p>
      <w:pPr>
        <w:pStyle w:val="ListBullet"/>
        <w:spacing w:after="60"/>
      </w:pPr>
      <w:r>
        <w:t>Developmental/epigenetic flags and when they became known.</w:t>
      </w:r>
    </w:p>
    <w:p>
      <w:pPr>
        <w:pStyle w:val="ListBullet"/>
        <w:spacing w:after="60"/>
      </w:pPr>
      <w:r>
        <w:t>Milestone progress/readiness.</w:t>
      </w:r>
    </w:p>
    <w:p>
      <w:pPr>
        <w:pStyle w:val="ListBullet"/>
        <w:spacing w:after="60"/>
      </w:pPr>
      <w:r>
        <w:t>Links to dam/sire/pedigree/genetics.</w:t>
      </w:r>
    </w:p>
    <w:p>
      <w:pPr>
        <w:pStyle w:val="ListBullet"/>
        <w:spacing w:after="60"/>
      </w:pPr>
      <w:r>
        <w:t>“Foal Readiness” summary was explored as a convenience, not a separate hidden score unless defined.</w:t>
      </w:r>
    </w:p>
    <w:p>
      <w:pPr>
        <w:pStyle w:val="Heading1"/>
      </w:pPr>
      <w:r>
        <w:t>Implementation history</w:t>
      </w:r>
    </w:p>
    <w:p>
      <w:r>
        <w:t>Prior development conversations reported task logs, under-age-3 epigenetic marking and small trait changes (including ±3-style implementation values) in code. Those reports are implementation history, not authority over the design if they conflict with the later bond/care rules.</w:t>
      </w:r>
    </w:p>
    <w:p>
      <w:r>
        <w:t>This volume deliberately separates intended player-facing logic from old code behavior so an obsolete prototype cannot silently become canon.</w:t>
      </w:r>
    </w:p>
    <w:p>
      <w:pPr>
        <w:pStyle w:val="Heading1"/>
      </w:pPr>
      <w:r>
        <w:t>Do-not-drift guardrails</w:t>
      </w:r>
    </w:p>
    <w:tbl>
      <w:tblPr>
        <w:tblW w:type="auto" w:w="0"/>
        <w:jc w:val="center"/>
        <w:tblLayout w:type="autofit"/>
        <w:tblLook w:firstColumn="1" w:firstRow="1" w:lastColumn="0" w:lastRow="0" w:noHBand="0" w:noVBand="1" w:val="04A0"/>
      </w:tblPr>
      <w:tblGrid>
        <w:gridCol w:w="9994"/>
      </w:tblGrid>
      <w:tr>
        <w:trPr>
          <w:cantSplit/>
        </w:trPr>
        <w:tc>
          <w:tcPr>
            <w:tcW w:type="dxa" w:w="9994"/>
            <w:shd w:fill="FBEFEF"/>
            <w:tcMar>
              <w:top w:w="130" w:type="dxa"/>
              <w:start w:w="150" w:type="dxa"/>
              <w:bottom w:w="130" w:type="dxa"/>
              <w:end w:w="150" w:type="dxa"/>
            </w:tcMar>
          </w:tcPr>
          <w:p>
            <w:r>
              <w:rPr>
                <w:b/>
                <w:color w:val="17233A"/>
                <w:sz w:val="21"/>
              </w:rPr>
              <w:t>Lock against reinterpretation</w:t>
              <w:br/>
            </w:r>
            <w:r>
              <w:rPr>
                <w:color w:val="20252E"/>
                <w:sz w:val="19"/>
              </w:rPr>
              <w:t>Do not turn foal development into punitive daily-login coercion. Missing days should reduce opportunity, not ruin a horse. The later +2 bond/day cap outranks older +5/+10 brainstorming. Do not allow early handling to overwrite genetics or create guaranteed champions.</w:t>
            </w:r>
          </w:p>
        </w:tc>
      </w:tr>
    </w:tbl>
    <w:p/>
    <w:p>
      <w:pPr>
        <w:pStyle w:val="Heading1"/>
      </w:pPr>
      <w:r>
        <w:t>Open decisions still requiring an explicit lock</w:t>
      </w:r>
    </w:p>
    <w:p>
      <w:pPr>
        <w:pStyle w:val="ListBullet"/>
        <w:spacing w:after="60"/>
      </w:pPr>
      <w:r>
        <w:t>Canonical aging calendar after the newborn six-day window.</w:t>
      </w:r>
    </w:p>
    <w:p>
      <w:pPr>
        <w:pStyle w:val="ListBullet"/>
        <w:spacing w:after="60"/>
      </w:pPr>
      <w:r>
        <w:t>Final temperament schema: categorical type versus dimensions/tags.</w:t>
      </w:r>
    </w:p>
    <w:p>
      <w:pPr>
        <w:pStyle w:val="ListBullet"/>
        <w:spacing w:after="60"/>
      </w:pPr>
      <w:r>
        <w:t>Exact stress change rules and final thresholds/probabilities.</w:t>
      </w:r>
    </w:p>
    <w:p>
      <w:pPr>
        <w:pStyle w:val="ListBullet"/>
        <w:spacing w:after="60"/>
      </w:pPr>
      <w:r>
        <w:t>How/when developmental flags become visible to the player.</w:t>
      </w:r>
    </w:p>
    <w:p>
      <w:pPr>
        <w:pStyle w:val="ListBullet"/>
        <w:spacing w:after="60"/>
      </w:pPr>
      <w:r>
        <w:t>Whether streak/grace/milestone probability formulas are retained and at what values.</w:t>
      </w:r>
    </w:p>
    <w:p>
      <w:pPr>
        <w:pStyle w:val="ListBullet"/>
        <w:spacing w:after="60"/>
      </w:pPr>
      <w:r>
        <w:t>Which age-2/youngstock actions belong to player care versus hired trainers/grooms.</w:t>
      </w:r>
    </w:p>
    <w:p>
      <w:pPr>
        <w:pStyle w:val="ListBullet"/>
      </w:pPr>
      <w:r>
        <w:t>Exact age-1 and age-2 task lists that are mandatory versus optional enrichment choices.</w:t>
      </w:r>
    </w:p>
    <w:p>
      <w:pPr>
        <w:pStyle w:val="ListBullet"/>
      </w:pPr>
      <w:r>
        <w:t>Whether groom care consumes the same one-action-per-day developmental opportunity as player care or runs in a separate passive-care channel.</w:t>
      </w:r>
    </w:p>
    <w:p>
      <w:pPr>
        <w:pStyle w:val="ListBullet"/>
      </w:pPr>
      <w:r>
        <w:t>Final groom assignment cadence/minimum duration for youngstock care.</w:t>
      </w:r>
    </w:p>
    <w:p>
      <w:pPr>
        <w:pStyle w:val="ListBullet"/>
      </w:pPr>
      <w:r>
        <w:t>Final bond threshold, if any, required before age-3 showing/training readiness.</w:t>
      </w:r>
    </w:p>
    <w:p>
      <w:pPr>
        <w:pStyle w:val="ListBullet"/>
      </w:pPr>
      <w:r>
        <w:t>How the historical 2–3 consecutive grooming-day burnout recovery rule maps onto the final stress/burnout system.</w:t>
      </w:r>
    </w:p>
    <w:p>
      <w:pPr>
        <w:pStyle w:val="Heading1"/>
      </w:pPr>
      <w:r>
        <w:t>Recovery provenance &amp; precedence</w:t>
      </w:r>
    </w:p>
    <w:p>
      <w:r>
        <w:t>This file is a reconstruction of Equoria’s discussed design intent. It intentionally preserves conflicts and historical alternatives instead of silently normalizing them.</w:t>
      </w:r>
    </w:p>
    <w:p>
      <w:r>
        <w:t>Precedence used here: later explicit user decisions outrank older plans; direct user constraints outrank assistant proposals; mockup values are examples unless independently locked; reported implementation is not treated as canonical design if it conflicts with a later decision.</w:t>
      </w:r>
    </w:p>
    <w:p>
      <w:pPr>
        <w:pStyle w:val="ListBullet"/>
        <w:spacing w:after="60"/>
      </w:pPr>
      <w:r>
        <w:t>2025 genetics/breeding/foal/care/training/rider planning conversations</w:t>
      </w:r>
    </w:p>
    <w:p>
      <w:pPr>
        <w:pStyle w:val="ListBullet"/>
        <w:spacing w:after="60"/>
      </w:pPr>
      <w:r>
        <w:t>2026 browser-game reconstruction and current feature inventory</w:t>
      </w:r>
    </w:p>
    <w:p>
      <w:pPr>
        <w:pStyle w:val="ListBullet"/>
        <w:spacing w:after="60"/>
      </w:pPr>
      <w:r>
        <w:t>Uploaded Equoria system-overview and UI-planning documents</w:t>
      </w:r>
    </w:p>
    <w:p>
      <w:pPr>
        <w:pStyle w:val="Heading1"/>
      </w:pPr>
      <w:r>
        <w:t>Use of this document</w:t>
      </w:r>
    </w:p>
    <w:p>
      <w:r>
        <w:t>Treat LOCKED and CURRENT material as the governing design baseline unless Stacey explicitly revises it. Treat PLANNED material as intended scope that still needs implementation-level definition. Treat EXPLORATORY material as archived possibilities. Treat SUPERSEDED material as historical context only and do not reintroduce it accidentally.</w:t>
      </w:r>
    </w:p>
    <w:p>
      <w:r>
        <w:t>When implementation requires a decision that this document marks OPEN, create a discrete design decision record rather than allowing code, mockups, or an AI-generated rewrite to choose by implication.</w:t>
      </w:r>
    </w:p>
    <w:p>
      <w:r>
        <w:br w:type="page"/>
      </w:r>
    </w:p>
    <w:p>
      <w:pPr>
        <w:pStyle w:val="Heading1"/>
        <w:keepNext/>
        <w:keepLines/>
      </w:pPr>
      <w:r>
        <w:rPr>
          <w:b/>
        </w:rPr>
        <w:t>SECOND-DEPTH RECONSTRUCTION PASS</w:t>
      </w:r>
    </w:p>
    <w:p>
      <w:pPr>
        <w:pStyle w:val="Heading2"/>
        <w:keepNext/>
        <w:keepLines/>
      </w:pPr>
      <w:r>
        <w:t>Deep recovery: newborn six-day protocol, youngstock progression, bond/stress, and developmental-state integrity</w:t>
      </w:r>
    </w:p>
    <w:p>
      <w:pPr>
        <w:pStyle w:val="DeepNote"/>
      </w:pPr>
      <w:r>
        <w:t>Added 5 October 2026 • source-audited against the re-uploaded historical files</w:t>
      </w:r>
    </w:p>
    <w:tbl>
      <w:tblPr>
        <w:tblW w:type="auto" w:w="0"/>
        <w:jc w:val="center"/>
        <w:tblLook w:firstColumn="1" w:firstRow="1" w:lastColumn="0" w:lastRow="0" w:noHBand="0" w:noVBand="1" w:val="04A0"/>
      </w:tblPr>
      <w:tblGrid>
        <w:gridCol w:w="10166"/>
      </w:tblGrid>
      <w:tr>
        <w:tc>
          <w:tcPr>
            <w:tcW w:type="dxa" w:w="10166"/>
            <w:shd w:fill="F2EFE6"/>
            <w:vAlign w:val="center"/>
          </w:tcPr>
          <w:p>
            <w:pPr>
              <w:keepLines/>
            </w:pPr>
            <w:r>
              <w:rPr>
                <w:b/>
              </w:rPr>
              <w:t xml:space="preserve">Evidence discipline. </w:t>
            </w:r>
            <w:r>
              <w:t>Evidence labels used in this deep pass: SOURCE-EXPLICIT means the uploaded historical material states the requirement directly; RECOVERED-CANON means the first reconstruction pass already preserved a user-directed rule from the earlier chat history; DERIVED-CONTRACT restates supported requirements as an implementation obligation without adding new balance; HISTORICAL/MOCKUP records a contemplated implementation or presentation but does not promote it to canon; OPEN means the source record does not resolve the decision.</w:t>
            </w:r>
          </w:p>
        </w:tc>
      </w:tr>
    </w:tbl>
    <w:p/>
    <w:p>
      <w:pPr>
        <w:pStyle w:val="Heading2"/>
        <w:keepNext/>
        <w:keepLines/>
      </w:pPr>
      <w:r>
        <w:t>Newborn window as a state machine</w:t>
      </w:r>
    </w:p>
    <w:p>
      <w:pPr>
        <w:pStyle w:val="ListBullet"/>
        <w:keepLines/>
      </w:pPr>
      <w:r>
        <w:rPr>
          <w:b/>
        </w:rPr>
        <w:t xml:space="preserve">[RECOVERED-CANON] </w:t>
      </w:r>
      <w:r>
        <w:t>Day 0 is birth/reveal and gates the development sequence. Days 1–2 focus imprinting/trust; days 3–4 social/environmental handling; days 5–6 confidence/manners/weaning-readiness-style work.</w:t>
      </w:r>
    </w:p>
    <w:p>
      <w:pPr>
        <w:pStyle w:val="ListBullet"/>
        <w:keepLines/>
      </w:pPr>
      <w:r>
        <w:rPr>
          <w:b/>
        </w:rPr>
        <w:t xml:space="preserve">[DERIVED-CONTRACT] </w:t>
      </w:r>
      <w:r>
        <w:t>Store whether the day’s opportunity was available, completed, missed or grace-eligible. The system should not infer history only from current bond/stress totals because different paths may produce the same totals.</w:t>
      </w:r>
    </w:p>
    <w:p>
      <w:pPr>
        <w:pStyle w:val="ListBullet"/>
        <w:keepLines/>
      </w:pPr>
      <w:r>
        <w:rPr>
          <w:b/>
        </w:rPr>
        <w:t xml:space="preserve">[RECOVERED-CANON] </w:t>
      </w:r>
      <w:r>
        <w:t>Exactly one developmental/care-style action per foal per day was the intended newborn cadence. Actions cannot be stacked retroactively on the birth day.</w:t>
      </w:r>
    </w:p>
    <w:p>
      <w:pPr>
        <w:pStyle w:val="ListBullet"/>
        <w:keepLines/>
      </w:pPr>
      <w:r>
        <w:rPr>
          <w:b/>
        </w:rPr>
        <w:t xml:space="preserve">[RECOVERED-CANON] </w:t>
      </w:r>
      <w:r>
        <w:t>Missing a day reduces opportunity; it does not permanently ruin the foal. Any streak-reset/grace logic remains OPEN until explicitly locked.</w:t>
      </w:r>
    </w:p>
    <w:p>
      <w:pPr>
        <w:pStyle w:val="Heading2"/>
        <w:keepNext/>
        <w:keepLines/>
      </w:pPr>
      <w:r>
        <w:t>Development inputs and outputs</w:t>
      </w:r>
    </w:p>
    <w:p>
      <w:pPr>
        <w:pStyle w:val="ListBullet"/>
        <w:keepLines/>
      </w:pPr>
      <w:r>
        <w:rPr>
          <w:b/>
        </w:rPr>
        <w:t xml:space="preserve">[RECOVERED-CANON] </w:t>
      </w:r>
      <w:r>
        <w:t>Inputs discussed include trust/handling, desensitization, leading, tying, hoof handling, showground exposure, confidence walks, group calmness and later tack/presentation exposure.</w:t>
      </w:r>
    </w:p>
    <w:p>
      <w:pPr>
        <w:pStyle w:val="ListBullet"/>
        <w:keepLines/>
      </w:pPr>
      <w:r>
        <w:rPr>
          <w:b/>
        </w:rPr>
        <w:t xml:space="preserve">[RECOVERED-CANON] </w:t>
      </w:r>
      <w:r>
        <w:t>Outputs may include bond/stress shifts and developmental flags such as Brave/Fearful, Confident/Insecure, Affectionate/Skittish, Resilient/Reactive/Fragile, immunity flags, People Trusting and Show Calm/Crowd Ready.</w:t>
      </w:r>
    </w:p>
    <w:p>
      <w:pPr>
        <w:pStyle w:val="ListBullet"/>
        <w:keepLines/>
      </w:pPr>
      <w:r>
        <w:rPr>
          <w:b/>
        </w:rPr>
        <w:t xml:space="preserve">[DERIVED-CONTRACT] </w:t>
      </w:r>
      <w:r>
        <w:t>A developmental flag must record its source/milestone when practical. It must not silently overwrite genotype or inherited conformation/stat truth.</w:t>
      </w:r>
    </w:p>
    <w:p>
      <w:pPr>
        <w:pStyle w:val="ListBullet"/>
        <w:keepLines/>
      </w:pPr>
      <w:r>
        <w:rPr>
          <w:b/>
        </w:rPr>
        <w:t xml:space="preserve">[RECOVERED-CANON] </w:t>
      </w:r>
      <w:r>
        <w:t>Rider retirement cannot emotionally punish the horse; NPC lifecycle and foal/horse bond systems are separate.</w:t>
      </w:r>
    </w:p>
    <w:p>
      <w:pPr>
        <w:pStyle w:val="Heading2"/>
        <w:keepNext/>
        <w:keepLines/>
      </w:pPr>
      <w:r>
        <w:t>Bond and stress contract</w:t>
      </w:r>
    </w:p>
    <w:p>
      <w:pPr>
        <w:pStyle w:val="ListBullet"/>
        <w:keepLines/>
      </w:pPr>
      <w:r>
        <w:rPr>
          <w:b/>
        </w:rPr>
        <w:t xml:space="preserve">[RECOVERED-CANON] </w:t>
      </w:r>
      <w:r>
        <w:t>Later rule: bond is 0–100, starts at 0 and gains at most +2 per horse per day. This supersedes older +5/+10 action examples.</w:t>
      </w:r>
    </w:p>
    <w:p>
      <w:pPr>
        <w:pStyle w:val="ListBullet"/>
        <w:keepLines/>
      </w:pPr>
      <w:r>
        <w:rPr>
          <w:b/>
        </w:rPr>
        <w:t xml:space="preserve">[RECOVERED-CANON] </w:t>
      </w:r>
      <w:r>
        <w:t>Stress was modeled on 0–100 and used in proposed developmental/burnout logic. Specific thresholds/probabilities remain balance proposals unless separately locked.</w:t>
      </w:r>
    </w:p>
    <w:p>
      <w:pPr>
        <w:pStyle w:val="ListBullet"/>
        <w:keepLines/>
      </w:pPr>
      <w:r>
        <w:rPr>
          <w:b/>
        </w:rPr>
        <w:t xml:space="preserve">[DERIVED-CONTRACT] </w:t>
      </w:r>
      <w:r>
        <w:t>Care/foal UI must show enough history that a player can understand why a bond/stress or flag outcome occurred; hidden arbitrary drift would undermine the strategic system.</w:t>
      </w:r>
    </w:p>
    <w:p>
      <w:pPr>
        <w:pStyle w:val="Heading2"/>
        <w:keepNext/>
        <w:keepLines/>
      </w:pPr>
      <w:r>
        <w:t>Age milestones and handoff to adult systems</w:t>
      </w:r>
    </w:p>
    <w:p>
      <w:pPr>
        <w:pStyle w:val="ListBullet"/>
        <w:keepLines/>
      </w:pPr>
      <w:r>
        <w:rPr>
          <w:b/>
        </w:rPr>
        <w:t xml:space="preserve">[RECOVERED-CANON] </w:t>
      </w:r>
      <w:r>
        <w:t>Age 1, 2 and 3 milestones were discussed; around age 2, tack desensitization/advanced grooming/showground exposure become appropriate, while age 3 is the adult threshold for rider assignment, adult training and competition.</w:t>
      </w:r>
    </w:p>
    <w:p>
      <w:pPr>
        <w:pStyle w:val="ListBullet"/>
        <w:keepLines/>
      </w:pPr>
      <w:r>
        <w:rPr>
          <w:b/>
        </w:rPr>
        <w:t xml:space="preserve">[DERIVED-CONTRACT] </w:t>
      </w:r>
      <w:r>
        <w:t>Youngstock actions must not create a second adult training channel. Lunging/long-lining and specialist work, if retained, belong to a defined professional/youngstock system with explicit effects.</w:t>
      </w:r>
    </w:p>
    <w:p>
      <w:pPr>
        <w:pStyle w:val="ListBullet"/>
        <w:keepLines/>
      </w:pPr>
      <w:r>
        <w:rPr>
          <w:b/>
        </w:rPr>
        <w:t xml:space="preserve">[OPEN] </w:t>
      </w:r>
      <w:r>
        <w:t>The real-time aging cadence after the six-day newborn window remains unresolved.</w:t>
      </w:r>
    </w:p>
    <w:p>
      <w:pPr>
        <w:pStyle w:val="Heading2"/>
      </w:pPr>
      <w:r>
        <w:t>Age-specific enrichment and groom-channel recovery</w:t>
      </w:r>
    </w:p>
    <w:p>
      <w:pPr>
        <w:pStyle w:val="ListBullet"/>
      </w:pPr>
      <w:r>
        <w:t>[RECOVERED-CANON] Age 0 was not just generic “handling.” Recovered examples include gentle touch/brushing, hoof touching, halter work, lead-rope exposure, trailer/novel-environment exposure, saddle-pad/noise desensitization, manners and weaning preparation, distributed across the newborn developmental windows rather than stacked at once.</w:t>
      </w:r>
    </w:p>
    <w:p>
      <w:pPr>
        <w:pStyle w:val="ListBullet"/>
      </w:pPr>
      <w:r>
        <w:t>[RECOVERED-CANON] Age 1 broadens to desensitization, leading, tying, hoof handling, confidence walks, trust building and showground/environment exposure. The developmental purpose is calm, cooperative handling and confidence, not discipline-score training.</w:t>
      </w:r>
    </w:p>
    <w:p>
      <w:pPr>
        <w:pStyle w:val="ListBullet"/>
      </w:pPr>
      <w:r>
        <w:t>[RECOVERED-CANON] Age 2 broadens again to tack desensitization, advanced grooming/braiding, group calmness/social exposure and showground walk-alongs. Confined-space trust work was also discussed but remains a proposal until its exact task/effect is defined.</w:t>
      </w:r>
    </w:p>
    <w:p>
      <w:pPr>
        <w:pStyle w:val="ListBullet"/>
      </w:pPr>
      <w:r>
        <w:t>[RECOVERED-CANON] One care/development interaction per day resolves the earlier weekly-interaction conflict. Missed interactions remove chances to earn bond/developmental benefits rather than applying direct punitive damage.</w:t>
      </w:r>
    </w:p>
    <w:p>
      <w:pPr>
        <w:pStyle w:val="ListBullet"/>
      </w:pPr>
      <w:r>
        <w:t>[RECOVERED-CANON] Care consistency and bond were intended to matter before age 3. Historical discussion also allowed two to three consecutive grooming/care days to remove burnout; the exact final relationship among grooming, burnout and the 0–100 stress model remains to be normalized.</w:t>
      </w:r>
    </w:p>
    <w:p>
      <w:pPr>
        <w:pStyle w:val="ListBullet"/>
      </w:pPr>
      <w:r>
        <w:t>[HISTORICAL/PROPOSAL] Grooms were discussed as performing meaningful youngstock care—imprinting/socialization support, fear-period handling, halter/leading work, grooming and stress reduction—and as contributing to developmental consistency. Exact automated cadence, assignment minimums and whether groom care consumes the player daily slot remain OPEN.</w:t>
      </w:r>
    </w:p>
    <w:p>
      <w:pPr>
        <w:pStyle w:val="ListBullet"/>
      </w:pPr>
      <w:r>
        <w:t>[DERIVED-CONTRACT] The youngstock task log must identify whether an interaction came from the player, an assigned groom or another professional. A foal must not receive duplicate developmental credit merely because multiple care surfaces target the same day.</w:t>
      </w:r>
    </w:p>
    <w:p>
      <w:pPr>
        <w:pStyle w:val="Heading2"/>
        <w:keepNext/>
        <w:keepLines/>
      </w:pPr>
      <w:r>
        <w:t>Source trace for this deep pass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3D4D"/>
          </w:tcPr>
          <w:p>
            <w:r>
              <w:rPr>
                <w:b/>
                <w:color w:val="FFFFFF"/>
              </w:rPr>
              <w:t>Source</w:t>
            </w:r>
          </w:p>
        </w:tc>
        <w:tc>
          <w:tcPr>
            <w:tcW w:type="dxa" w:w="5083"/>
            <w:shd w:fill="2F3D4D"/>
          </w:tcPr>
          <w:p>
            <w:r>
              <w:rPr>
                <w:b/>
                <w:color w:val="FFFFFF"/>
              </w:rPr>
              <w:t>How it is used here</w:t>
            </w:r>
          </w:p>
        </w:tc>
      </w:tr>
      <w:tr>
        <w:tc>
          <w:tcPr>
            <w:tcW w:type="dxa" w:w="5083"/>
            <w:vAlign w:val="top"/>
          </w:tcPr>
          <w:p>
            <w:pPr>
              <w:keepLines/>
            </w:pPr>
            <w:r>
              <w:t>first-pass Volume 09 reconstructed from earlier Equoria chats</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UI planning references to Foals and bonding progress</w:t>
            </w:r>
          </w:p>
        </w:tc>
        <w:tc>
          <w:tcPr>
            <w:tcW w:type="dxa" w:w="5083"/>
            <w:vAlign w:val="top"/>
          </w:tcPr>
          <w:p>
            <w:pPr>
              <w:keepLines/>
            </w:pPr>
            <w:r>
              <w:t>Evidence for requirements/history; exact authority depends on whether the source is a rule file, implementation plan, UI mockup, or reconstructed user-directed canon.</w:t>
            </w:r>
          </w:p>
        </w:tc>
      </w:tr>
    </w:tbl>
    <w:p>
      <w:pPr>
        <w:pStyle w:val="Heading2"/>
        <w:keepNext/>
        <w:keepLines/>
      </w:pPr>
      <w:r>
        <w:t>Deep-pass acceptance checks</w:t>
      </w:r>
    </w:p>
    <w:p>
      <w:pPr>
        <w:pStyle w:val="ListBullet"/>
        <w:keepLines/>
      </w:pPr>
      <w:r>
        <w:rPr>
          <w:b/>
        </w:rPr>
        <w:t xml:space="preserve">[DERIVED-CONTRACT] </w:t>
      </w:r>
      <w:r>
        <w:t>A future implementation can identify which values are locked versus open without guessing from a mockup.</w:t>
      </w:r>
    </w:p>
    <w:p>
      <w:pPr>
        <w:pStyle w:val="ListBullet"/>
        <w:keepLines/>
      </w:pPr>
      <w:r>
        <w:rPr>
          <w:b/>
        </w:rPr>
        <w:t xml:space="preserve">[DERIVED-CONTRACT] </w:t>
      </w:r>
      <w:r>
        <w:t>Any historical rule that conflicts with a later correction is visibly marked and cannot silently return through copied code/tests.</w:t>
      </w:r>
    </w:p>
    <w:p>
      <w:pPr>
        <w:pStyle w:val="ListBullet"/>
        <w:keepLines/>
      </w:pPr>
      <w:r>
        <w:rPr>
          <w:b/>
        </w:rPr>
        <w:t xml:space="preserve">[DERIVED-CONTRACT] </w:t>
      </w:r>
      <w:r>
        <w:t>The UI can be redesigned without deleting the underlying system responsibilities or authoritative records.</w:t>
      </w:r>
    </w:p>
    <w:p>
      <w:pPr>
        <w:pStyle w:val="ListBullet"/>
        <w:keepLines/>
      </w:pPr>
      <w:r>
        <w:rPr>
          <w:b/>
        </w:rPr>
        <w:t xml:space="preserve">[DERIVED-CONTRACT] </w:t>
      </w:r>
      <w:r>
        <w:t>Server/domain logic remains the source of eligibility, scoring, economy and permissions; clients render and request actions rather than inventing rules.</w:t>
      </w:r>
    </w:p>
    <w:p>
      <w:pPr>
        <w:pStyle w:val="ListBullet"/>
        <w:keepLines/>
      </w:pPr>
      <w:r>
        <w:rPr>
          <w:b/>
        </w:rPr>
        <w:t xml:space="preserve">[DERIVED-CONTRACT] </w:t>
      </w:r>
      <w:r>
        <w:t>If a required rule is unsupported by the recovered record, it remains OPEN and is routed to an explicit design decision instead of being fabricated.</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Reconstructed Design Bible • Canonical Pass V6 • 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