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quoriaKicker"/>
      </w:pPr>
      <w:r>
        <w:t>EQUORIA DESIGN BIBLE  •  VOLUME 10 OF 23</w:t>
      </w:r>
    </w:p>
    <w:p>
      <w:pPr>
        <w:pStyle w:val="Title"/>
      </w:pPr>
      <w:r>
        <w:t>10. Care, Grooming, Health, Vetting &amp; Burnout</w:t>
      </w:r>
    </w:p>
    <w:p>
      <w:pPr>
        <w:jc w:val="left"/>
        <w:pBdr>
          <w:bottom w:val="single" w:sz="12" w:space="1" w:color="B99047"/>
        </w:pBdr>
      </w:pPr>
      <w:r>
        <w:t>Recovered design intent • canonical updates through 8 October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0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Purpose of this volume</w:t>
              <w:br/>
            </w:r>
            <w:r>
              <w:rPr>
                <w:color w:val="20252E"/>
                <w:sz w:val="19"/>
              </w:rPr>
              <w:t>Reconstructs routine horse care, bond, weekly vetting, competition-only injury rules, health states, grooming/presentation products, burnout prevention/recovery and the known conflict between old health/scoring scales.</w:t>
            </w:r>
          </w:p>
        </w:tc>
      </w:tr>
    </w:tbl>
    <w:p/>
    <w:p>
      <w:pPr>
        <w:pStyle w:val="Heading1"/>
      </w:pPr>
      <w:r>
        <w:t>Canonical status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355E3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LOCKED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One care interaction/day; later bond +2/day cap; training causes no injury.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355E3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LOCKED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Competition injury chance: 5% at Fair health, 10% at Poor health.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715E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PLANNED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Weekly vet care, grooming/presentation, burnout prevention/recovery.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9A6A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OPEN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Health-state normalization and exact burnout/energy formulas.</w:t>
            </w:r>
          </w:p>
        </w:tc>
      </w:tr>
    </w:tbl>
    <w:p>
      <w:pPr>
        <w:spacing w:after="0"/>
      </w:pPr>
    </w:p>
    <w:p>
      <w:pPr>
        <w:pStyle w:val="Heading1"/>
      </w:pPr>
      <w:r>
        <w:t>Daily care intent</w:t>
      </w:r>
    </w:p>
    <w:p>
      <w:pPr>
        <w:pStyle w:val="ListBullet"/>
        <w:spacing w:after="60"/>
      </w:pPr>
      <w:r>
        <w:t>One care interaction per horse per day was the intended routine cadence.</w:t>
      </w:r>
    </w:p>
    <w:p>
      <w:pPr>
        <w:pStyle w:val="ListBullet"/>
        <w:spacing w:after="60"/>
      </w:pPr>
      <w:r>
        <w:t>Discussed care interactions: brushing/grooming, hand-walking and stall care/cleaning.</w:t>
      </w:r>
    </w:p>
    <w:p>
      <w:pPr>
        <w:pStyle w:val="ListBullet"/>
        <w:spacing w:after="60"/>
      </w:pPr>
      <w:r>
        <w:t>Care raises bond, supports emotional stability and reduces burnout risk.</w:t>
      </w:r>
    </w:p>
    <w:p>
      <w:pPr>
        <w:pStyle w:val="ListBullet"/>
        <w:spacing w:after="60"/>
      </w:pPr>
      <w:r>
        <w:t>Later locked bond rule: starts at 0, max +2/day, cap 100.</w:t>
      </w:r>
    </w:p>
    <w:p>
      <w:pPr>
        <w:pStyle w:val="ListBullet"/>
        <w:spacing w:after="60"/>
      </w:pPr>
      <w:r>
        <w:t>Care should be meaningful without making a 100-horse stable impossible to operate; bulk/Quick Care needs its own rules.</w:t>
      </w:r>
    </w:p>
    <w:p>
      <w:pPr>
        <w:pStyle w:val="Heading1"/>
      </w:pPr>
      <w:r>
        <w:t>Health maintenance and veterinarian</w:t>
      </w:r>
    </w:p>
    <w:p>
      <w:pPr>
        <w:pStyle w:val="ListBullet"/>
        <w:spacing w:after="60"/>
      </w:pPr>
      <w:r>
        <w:t>Weekly vetting/checks were the intended health-maintenance cadence.</w:t>
      </w:r>
    </w:p>
    <w:p>
      <w:pPr>
        <w:pStyle w:val="ListBullet"/>
        <w:spacing w:after="60"/>
      </w:pPr>
      <w:r>
        <w:t>Poor/missed health care can affect mare stress and other downstream systems.</w:t>
      </w:r>
    </w:p>
    <w:p>
      <w:pPr>
        <w:pStyle w:val="ListBullet"/>
        <w:spacing w:after="60"/>
      </w:pPr>
      <w:r>
        <w:t>The veterinarian is a WORLD destination/service.</w:t>
      </w:r>
    </w:p>
    <w:p>
      <w:pPr>
        <w:pStyle w:val="ListBullet"/>
        <w:spacing w:after="60"/>
      </w:pPr>
      <w:r>
        <w:t>Grooms do not magically detect injuries; injury/health logic belongs to the health/vet system.</w:t>
      </w:r>
    </w:p>
    <w:p>
      <w:pPr>
        <w:pStyle w:val="Heading1"/>
      </w:pPr>
      <w:r>
        <w:t>Injury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4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Design intent</w:t>
              <w:br/>
            </w:r>
            <w:r>
              <w:rPr>
                <w:color w:val="20252E"/>
                <w:sz w:val="19"/>
              </w:rPr>
              <w:t>Training must not injure horses. Competition is the defined injury source in the recovered rules.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12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2880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Competition injury chance</w:t>
            </w:r>
          </w:p>
        </w:tc>
        <w:tc>
          <w:tcPr>
            <w:tcW w:type="dxa" w:w="4176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Fair health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5%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Accepted/locked design value.</w:t>
            </w:r>
          </w:p>
        </w:tc>
      </w:tr>
      <w:tr>
        <w:trPr>
          <w:cantSplit/>
        </w:trPr>
        <w:tc>
          <w:tcPr>
            <w:tcW w:type="dxa" w:w="331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Poor health</w:t>
            </w:r>
          </w:p>
        </w:tc>
        <w:tc>
          <w:tcPr>
            <w:tcW w:type="dxa" w:w="288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10%</w:t>
            </w:r>
          </w:p>
        </w:tc>
        <w:tc>
          <w:tcPr>
            <w:tcW w:type="dxa" w:w="417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Accepted/locked design value.</w:t>
            </w:r>
          </w:p>
        </w:tc>
      </w:tr>
      <w:tr>
        <w:trPr>
          <w:cantSplit/>
        </w:trPr>
        <w:tc>
          <w:tcPr>
            <w:tcW w:type="dxa" w:w="331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Training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0% from overtraining/training action</w:t>
            </w:r>
          </w:p>
        </w:tc>
        <w:tc>
          <w:tcPr>
            <w:tcW w:type="dxa" w:w="41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Explicit design constraint.</w:t>
            </w:r>
          </w:p>
        </w:tc>
      </w:tr>
      <w:tr>
        <w:trPr>
          <w:cantSplit/>
        </w:trPr>
        <w:tc>
          <w:tcPr>
            <w:tcW w:type="dxa" w:w="331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Good/very good/excellent health</w:t>
            </w:r>
          </w:p>
        </w:tc>
        <w:tc>
          <w:tcPr>
            <w:tcW w:type="dxa" w:w="288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No special injury chance recovered</w:t>
            </w:r>
          </w:p>
        </w:tc>
        <w:tc>
          <w:tcPr>
            <w:tcW w:type="dxa" w:w="4176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Do not invent one without a balance decision.</w:t>
            </w:r>
          </w:p>
        </w:tc>
      </w:tr>
    </w:tbl>
    <w:p/>
    <w:p>
      <w:pPr>
        <w:pStyle w:val="Heading1"/>
      </w:pPr>
      <w:r>
        <w:t>Health-scale conflict that must be resolved explicitly</w:t>
      </w:r>
    </w:p>
    <w:p>
      <w:r>
        <w:t>One later health-state discussion used the ladder Good → Fair → Poor → Critical. An older competition-scoring table used Excellent / Very Good / Good / Fair / Bad with modifiers +5%, +3%, 0, −3%, −5%. These are not the same vocabulary.</w:t>
      </w:r>
    </w:p>
    <w:p>
      <w:r>
        <w:t>Do not silently map “Bad” to “Poor” or introduce “Critical” into show scoring without a design decision. The health-state model and competition modifier table should be reconciled once and then used everywhere.</w:t>
      </w:r>
    </w:p>
    <w:p>
      <w:pPr>
        <w:pStyle w:val="Heading1"/>
      </w:pPr>
      <w:r>
        <w:t>Burnout — cause and philosophy</w:t>
      </w:r>
    </w:p>
    <w:p>
      <w:pPr>
        <w:pStyle w:val="ListBullet"/>
        <w:spacing w:after="60"/>
      </w:pPr>
      <w:r>
        <w:t>Burnout should arise from poor condition/stress/emotional neglect, not “you trained too much.”</w:t>
      </w:r>
    </w:p>
    <w:p>
      <w:pPr>
        <w:pStyle w:val="ListBullet"/>
        <w:spacing w:after="60"/>
      </w:pPr>
      <w:r>
        <w:t>Overtraining injury/fatigue mechanics were explicitly not desired as the core punishment.</w:t>
      </w:r>
    </w:p>
    <w:p>
      <w:pPr>
        <w:pStyle w:val="ListBullet"/>
        <w:spacing w:after="60"/>
      </w:pPr>
      <w:r>
        <w:t>Consistent care can create burnout resistance/immunity.</w:t>
      </w:r>
    </w:p>
    <w:p>
      <w:pPr>
        <w:pStyle w:val="ListBullet"/>
        <w:spacing w:after="60"/>
      </w:pPr>
      <w:r>
        <w:t>A seven-consecutive-care-day reward was proposed as the threshold for resistance/immunity.</w:t>
      </w:r>
    </w:p>
    <w:p>
      <w:pPr>
        <w:pStyle w:val="ListBullet"/>
        <w:spacing w:after="60"/>
      </w:pPr>
      <w:r>
        <w:t>A two-day lapse/grace concept appeared in later refinement before streak loss; exact implementation remains open.</w:t>
      </w:r>
    </w:p>
    <w:p>
      <w:pPr>
        <w:pStyle w:val="Heading1"/>
      </w:pPr>
      <w:r>
        <w:t>Burnout recovery options discussed</w:t>
      </w:r>
    </w:p>
    <w:p>
      <w:pPr>
        <w:pStyle w:val="ListBullet"/>
        <w:spacing w:after="60"/>
      </w:pPr>
      <w:r>
        <w:t>One full rest week.</w:t>
      </w:r>
    </w:p>
    <w:p>
      <w:pPr>
        <w:pStyle w:val="ListBullet"/>
        <w:spacing w:after="60"/>
      </w:pPr>
      <w:r>
        <w:t>Two to three grooming/emotional-care days.</w:t>
      </w:r>
    </w:p>
    <w:p>
      <w:pPr>
        <w:pStyle w:val="ListBullet"/>
        <w:spacing w:after="60"/>
      </w:pPr>
      <w:r>
        <w:t>Bond above ~70.</w:t>
      </w:r>
    </w:p>
    <w:p>
      <w:pPr>
        <w:pStyle w:val="ListBullet"/>
        <w:spacing w:after="60"/>
      </w:pPr>
      <w:r>
        <w:t>Herbal supplement/support.</w:t>
      </w:r>
    </w:p>
    <w:p>
      <w:pPr>
        <w:pStyle w:val="ListBullet"/>
        <w:spacing w:after="60"/>
      </w:pPr>
      <w:r>
        <w:t>The accepted “Option B” discussion combined these elements, but the exact boolean logic—whether recovery requires all conditions, one of them, or a subset—was never finally locked.</w:t>
      </w:r>
    </w:p>
    <w:p>
      <w:pPr>
        <w:pStyle w:val="Heading1"/>
      </w:pPr>
      <w:r>
        <w:t>Grooming products and 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7488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Examples / proposed effect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Mane/tail product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Presentation/appearance support; style/braid systems were also discussed.</w:t>
            </w:r>
          </w:p>
        </w:tc>
      </w:tr>
      <w:tr>
        <w:trPr>
          <w:cantSplit/>
        </w:trPr>
        <w:tc>
          <w:tcPr>
            <w:tcW w:type="dxa" w:w="288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Whitening product</w:t>
            </w:r>
          </w:p>
        </w:tc>
        <w:tc>
          <w:tcPr>
            <w:tcW w:type="dxa" w:w="748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Presentation boost for appropriate markings/coats.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Coat oil / shine product</w:t>
            </w:r>
          </w:p>
        </w:tc>
        <w:tc>
          <w:tcPr>
            <w:tcW w:type="dxa" w:w="74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Example proposal: +10% coat shine; one mock effect used 3-day mud protection.</w:t>
            </w:r>
          </w:p>
        </w:tc>
      </w:tr>
      <w:tr>
        <w:trPr>
          <w:cantSplit/>
        </w:trPr>
        <w:tc>
          <w:tcPr>
            <w:tcW w:type="dxa" w:w="288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Slots / rarity</w:t>
            </w:r>
          </w:p>
        </w:tc>
        <w:tc>
          <w:tcPr>
            <w:tcW w:type="dxa" w:w="748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Three grooming-product slots and Common → Rare → Epic tiers were proposed, not locked.</w:t>
            </w:r>
          </w:p>
        </w:tc>
      </w:tr>
    </w:tbl>
    <w:p/>
    <w:p>
      <w:pPr>
        <w:pStyle w:val="Heading1"/>
      </w:pPr>
      <w:r>
        <w:t>Equipment / supportive items discussed</w:t>
      </w:r>
    </w:p>
    <w:p>
      <w:pPr>
        <w:pStyle w:val="ListBullet"/>
        <w:spacing w:after="60"/>
      </w:pPr>
      <w:r>
        <w:t>Bell boots linked to desensitization/protection-style effects.</w:t>
      </w:r>
    </w:p>
    <w:p>
      <w:pPr>
        <w:pStyle w:val="ListBullet"/>
        <w:spacing w:after="60"/>
      </w:pPr>
      <w:r>
        <w:t>Calming pad.</w:t>
      </w:r>
    </w:p>
    <w:p>
      <w:pPr>
        <w:pStyle w:val="ListBullet"/>
        <w:spacing w:after="60"/>
      </w:pPr>
      <w:r>
        <w:t>Trainability girth.</w:t>
      </w:r>
    </w:p>
    <w:p>
      <w:pPr>
        <w:pStyle w:val="ListBullet"/>
        <w:spacing w:after="60"/>
      </w:pPr>
      <w:r>
        <w:t>Discipline-specific saddles, harnesses and bridles.</w:t>
      </w:r>
    </w:p>
    <w:p>
      <w:pPr>
        <w:pStyle w:val="ListBullet"/>
        <w:spacing w:after="60"/>
      </w:pPr>
      <w:r>
        <w:t>Supplements/herbs may support burnout/negative-trait management, but exact effects must not become unreviewed competitive boosts.</w:t>
      </w:r>
    </w:p>
    <w:p>
      <w:pPr>
        <w:pStyle w:val="Heading1"/>
      </w:pPr>
      <w:r>
        <w:t>Care and show presentation relationship</w:t>
      </w:r>
    </w:p>
    <w:p>
      <w:pPr>
        <w:pStyle w:val="ListBullet"/>
        <w:spacing w:after="60"/>
      </w:pPr>
      <w:r>
        <w:t>Conformation shows intentionally include presentation as a scoring component; grooming/staff/item choices can matter there.</w:t>
      </w:r>
    </w:p>
    <w:p>
      <w:pPr>
        <w:pStyle w:val="ListBullet"/>
        <w:spacing w:after="60"/>
      </w:pPr>
      <w:r>
        <w:t>Parades place even more weight on presentation and movement.</w:t>
      </w:r>
    </w:p>
    <w:p>
      <w:pPr>
        <w:pStyle w:val="ListBullet"/>
        <w:spacing w:after="60"/>
      </w:pPr>
      <w:r>
        <w:t>This is different from permanently increasing a horse’s conformation genetics/body rating through grooming.</w:t>
      </w:r>
    </w:p>
    <w:p>
      <w:pPr>
        <w:pStyle w:val="ListBullet"/>
        <w:spacing w:after="60"/>
      </w:pPr>
      <w:r>
        <w:t>Groom skill, bond and presentation products can influence show-day presentation without rewriting the horse’s inherited anatomy.</w:t>
      </w:r>
    </w:p>
    <w:p>
      <w:pPr>
        <w:pStyle w:val="Heading1"/>
      </w:pPr>
      <w:r>
        <w:t>Current UI meters versus confirmed mechanics</w:t>
      </w:r>
    </w:p>
    <w:p>
      <w:r>
        <w:t>Current stable concepts display Energy, Morale and Fitness, as well as fed counts and Quick Care. Those are useful operational dimensions, but the exact formulas, daily decay/recovery and their relationship to Health/Bond/Stress were not completely recovered.</w:t>
      </w:r>
    </w:p>
    <w:p>
      <w:r>
        <w:t>Until resolved, UI mock meters must not be treated as a permission to invent an energy-gating system—particularly because older design notes explicitly rejected cooldown/energy-bar gating in parts of the competition flow.</w:t>
      </w:r>
    </w:p>
    <w:p>
      <w:pPr>
        <w:pStyle w:val="Heading1"/>
      </w:pPr>
      <w:r>
        <w:t>Rejected / superseded care assumptions</w:t>
      </w:r>
    </w:p>
    <w:p>
      <w:pPr>
        <w:pStyle w:val="ListBullet"/>
        <w:spacing w:after="60"/>
      </w:pPr>
      <w:r>
        <w:t>Grooms should not function as hidden injury detectors.</w:t>
      </w:r>
    </w:p>
    <w:p>
      <w:pPr>
        <w:pStyle w:val="ListBullet"/>
        <w:spacing w:after="60"/>
      </w:pPr>
      <w:r>
        <w:t>Training should not cause random injury.</w:t>
      </w:r>
    </w:p>
    <w:p>
      <w:pPr>
        <w:pStyle w:val="ListBullet"/>
        <w:spacing w:after="60"/>
      </w:pPr>
      <w:r>
        <w:t>Burnout should not be a punishment for using the training system at the intended weekly cadence.</w:t>
      </w:r>
    </w:p>
    <w:p>
      <w:pPr>
        <w:pStyle w:val="ListBullet"/>
        <w:spacing w:after="60"/>
      </w:pPr>
      <w:r>
        <w:t>Conformation itself should not be increased by grooming; presentation is a separate score component.</w:t>
      </w:r>
    </w:p>
    <w:p>
      <w:pPr>
        <w:pStyle w:val="Heading1"/>
      </w:pPr>
      <w:r>
        <w:t>Do-not-drift guardrails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BEF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Lock against reinterpretation</w:t>
              <w:br/>
            </w:r>
            <w:r>
              <w:rPr>
                <w:color w:val="20252E"/>
                <w:sz w:val="19"/>
              </w:rPr>
              <w:t>Do not add training injuries or overtraining burnout. Do not let grooming permanently alter genetic/conformation truth. Do not treat mock Energy/Morale/Fitness bars as locked formulas. Resolve the health-vocabulary conflict explicitly before coding scoring or vet states.</w:t>
            </w:r>
          </w:p>
        </w:tc>
      </w:tr>
    </w:tbl>
    <w:p/>
    <w:p>
      <w:pPr>
        <w:pStyle w:val="Heading1"/>
      </w:pPr>
      <w:r>
        <w:t>Open decisions still requiring an explicit lock</w:t>
      </w:r>
    </w:p>
    <w:p>
      <w:pPr>
        <w:pStyle w:val="ListBullet"/>
        <w:spacing w:after="60"/>
      </w:pPr>
      <w:r>
        <w:t>Canonical health states and mapping to competition health modifiers.</w:t>
      </w:r>
    </w:p>
    <w:p>
      <w:pPr>
        <w:pStyle w:val="ListBullet"/>
        <w:spacing w:after="60"/>
      </w:pPr>
      <w:r>
        <w:t>Exact health decay/recovery and weekly-vet consequences.</w:t>
      </w:r>
    </w:p>
    <w:p>
      <w:pPr>
        <w:pStyle w:val="ListBullet"/>
        <w:spacing w:after="60"/>
      </w:pPr>
      <w:r>
        <w:t>Final burnout-trigger formula and exact recovery boolean logic.</w:t>
      </w:r>
    </w:p>
    <w:p>
      <w:pPr>
        <w:pStyle w:val="ListBullet"/>
        <w:spacing w:after="60"/>
      </w:pPr>
      <w:r>
        <w:t>Energy/Morale/Fitness formulas and relationship to Bond/Stress/Health.</w:t>
      </w:r>
    </w:p>
    <w:p>
      <w:pPr>
        <w:pStyle w:val="ListBullet"/>
        <w:spacing w:after="60"/>
      </w:pPr>
      <w:r>
        <w:t>Quick Care/bulk-care rules for large stables.</w:t>
      </w:r>
    </w:p>
    <w:p>
      <w:pPr>
        <w:pStyle w:val="ListBullet"/>
        <w:spacing w:after="60"/>
      </w:pPr>
      <w:r>
        <w:t>Final grooming-item slots, rarities and mechanical versus cosmetic effects.</w:t>
      </w:r>
    </w:p>
    <w:p>
      <w:pPr>
        <w:pStyle w:val="Heading1"/>
      </w:pPr>
      <w:r>
        <w:t>Recovery provenance &amp; precedence</w:t>
      </w:r>
    </w:p>
    <w:p>
      <w:r>
        <w:t>This file is a reconstruction of Equoria’s discussed design intent. It intentionally preserves conflicts and historical alternatives instead of silently normalizing them.</w:t>
      </w:r>
    </w:p>
    <w:p>
      <w:r>
        <w:t>Precedence used here: later explicit user decisions outrank older plans; direct user constraints outrank assistant proposals; mockup values are examples unless independently locked; reported implementation is not treated as canonical design if it conflicts with a later decision.</w:t>
      </w:r>
    </w:p>
    <w:p>
      <w:pPr>
        <w:pStyle w:val="ListBullet"/>
        <w:spacing w:after="60"/>
      </w:pPr>
      <w:r>
        <w:t>2025 genetics/breeding/foal/care/training/rider planning conversations</w:t>
      </w:r>
    </w:p>
    <w:p>
      <w:pPr>
        <w:pStyle w:val="ListBullet"/>
        <w:spacing w:after="60"/>
      </w:pPr>
      <w:r>
        <w:t>2026 browser-game reconstruction and current feature inventory</w:t>
      </w:r>
    </w:p>
    <w:p>
      <w:pPr>
        <w:pStyle w:val="ListBullet"/>
        <w:spacing w:after="60"/>
      </w:pPr>
      <w:r>
        <w:t>Uploaded Equoria system-overview and UI-planning documents</w:t>
      </w:r>
    </w:p>
    <w:p>
      <w:pPr>
        <w:pStyle w:val="Heading1"/>
      </w:pPr>
      <w:r>
        <w:t>Use of this document</w:t>
      </w:r>
    </w:p>
    <w:p>
      <w:r>
        <w:t>Treat LOCKED and CURRENT material as the governing design baseline unless Stacey explicitly revises it. Treat PLANNED material as intended scope that still needs implementation-level definition. Treat EXPLORATORY material as archived possibilities. Treat SUPERSEDED material as historical context only and do not reintroduce it accidentally.</w:t>
      </w:r>
    </w:p>
    <w:p>
      <w:r>
        <w:t>When implementation requires a decision that this document marks OPEN, create a discrete design decision record rather than allowing code, mockups, or an AI-generated rewrite to choose by implication.</w:t>
      </w:r>
    </w:p>
    <w:p>
      <w:r>
        <w:br w:type="page"/>
      </w:r>
    </w:p>
    <w:p>
      <w:pPr>
        <w:pStyle w:val="Heading1"/>
        <w:keepNext/>
        <w:keepLines/>
      </w:pPr>
      <w:r>
        <w:rPr>
          <w:b/>
        </w:rPr>
        <w:t>SECOND-DEPTH RECONSTRUCTION PASS</w:t>
      </w:r>
    </w:p>
    <w:p>
      <w:pPr>
        <w:pStyle w:val="Heading2"/>
        <w:keepNext/>
        <w:keepLines/>
      </w:pPr>
      <w:r>
        <w:t>Deep recovery: daily care cadence, health states, injury sources, burnout, presentation, and bulk management</w:t>
      </w:r>
    </w:p>
    <w:p>
      <w:pPr>
        <w:pStyle w:val="DeepNote"/>
      </w:pPr>
      <w:r>
        <w:t>Added 5 October 2026 • source-audited against the re-uploaded historical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FE6"/>
            <w:vAlign w:val="center"/>
          </w:tcPr>
          <w:p>
            <w:pPr>
              <w:keepLines/>
            </w:pPr>
            <w:r>
              <w:rPr>
                <w:b/>
              </w:rPr>
              <w:t xml:space="preserve">Evidence discipline. </w:t>
            </w:r>
            <w:r>
              <w:t>Evidence labels used in this deep pass: SOURCE-EXPLICIT means the uploaded historical material states the requirement directly; RECOVERED-CANON means the first reconstruction pass already preserved a user-directed rule from the earlier chat history; DERIVED-CONTRACT restates supported requirements as an implementation obligation without adding new balance; HISTORICAL/MOCKUP records a contemplated implementation or presentation but does not promote it to canon; OPEN means the source record does not resolve the decision.</w:t>
            </w:r>
          </w:p>
        </w:tc>
      </w:tr>
    </w:tbl>
    <w:p/>
    <w:p>
      <w:pPr>
        <w:pStyle w:val="Heading2"/>
        <w:keepNext/>
        <w:keepLines/>
      </w:pPr>
      <w:r>
        <w:t>Care transaction and daily cap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One care interaction per horse per day was the intended routine cadence; examples included grooming/brushing, hand-walking and stall care.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Bond starts at 0, caps at 100 and later design limited gain to +2/day. Bulk/Quick Care may automate legal care but must not multiply bond beyond the same per-horse daily rule.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Record the daily care event (horse, action type, date, source/player/groom) so batch tools, streaks and bond cannot double-apply through multiple screens.</w:t>
      </w:r>
    </w:p>
    <w:p>
      <w:pPr>
        <w:pStyle w:val="Heading2"/>
        <w:keepNext/>
        <w:keepLines/>
      </w:pPr>
      <w:r>
        <w:t>Health and injury separation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Horse Profile included Health/Vet care tasks and vet history; World design includes a veterinarian service.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Weekly vet care/checks were the intended maintenance cadence. Training itself must not cause random injury.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Competition is the defined recovered injury source: 5% at Fair health, 10% at Poor health. No special chance for better health states was recovered.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Injury rolls should occur server-side at the competition event with health state captured for audit. Do not have UI energy bars or trainers independently generate injury.</w:t>
      </w:r>
    </w:p>
    <w:p>
      <w:pPr>
        <w:pStyle w:val="Heading2"/>
        <w:keepNext/>
        <w:keepLines/>
      </w:pPr>
      <w:r>
        <w:t>Health-vocabulary conflict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Two historical scales conflict: Good/Fair/Poor/Critical versus Excellent/Very Good/Good/Fair/Bad with show modifiers. This remains a design problem, not a synonym mapping task.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Before implementation, pick one canonical health enum and write an explicit mapping for competition scoring, vet recovery and UI labels. Existing data migrations must use that approved mapping.</w:t>
      </w:r>
    </w:p>
    <w:p>
      <w:pPr>
        <w:pStyle w:val="ListBullet"/>
        <w:keepLines/>
      </w:pPr>
      <w:r>
        <w:rPr>
          <w:b/>
        </w:rPr>
        <w:t xml:space="preserve">[OPEN] </w:t>
      </w:r>
      <w:r>
        <w:t>No newly uploaded source resolves this conflict.</w:t>
      </w:r>
    </w:p>
    <w:p>
      <w:pPr>
        <w:pStyle w:val="Heading2"/>
        <w:keepNext/>
        <w:keepLines/>
      </w:pPr>
      <w:r>
        <w:t>Burnout and presentation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Burnout should come from poor condition/stress/emotional neglect—not from using the intended weekly training action. Consistent care can create resistance; recovery proposals included rest, grooming/emotional care, high bond and herbs/support.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Burnout and health are separate dimensions even if they interact. A horse can be medically healthy but emotionally burned out, or vice versa, unless future design intentionally collapses them.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Grooming products/staff can affect show-day presentation. They do not permanently improve genetic conformation.</w:t>
      </w:r>
    </w:p>
    <w:p>
      <w:pPr>
        <w:pStyle w:val="Heading2"/>
        <w:keepNext/>
        <w:keepLines/>
      </w:pPr>
      <w:r>
        <w:t>Source trace for this deep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How it is used here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Horse Profile Screen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More UI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first-pass Volume 10 reconstructed from earlier Equoria chats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</w:tbl>
    <w:p>
      <w:pPr>
        <w:pStyle w:val="Heading2"/>
        <w:keepNext/>
        <w:keepLines/>
      </w:pPr>
      <w:r>
        <w:t>Deep-pass acceptance checks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 future implementation can identify which values are locked versus open without guessing from a mockup.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Any historical rule that conflicts with a later correction is visibly marked and cannot silently return through copied code/tests.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UI can be redesigned without deleting the underlying system responsibilities or authoritative records.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Server/domain logic remains the source of eligibility, scoring, economy and permissions; clients render and request actions rather than inventing rules.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If a required rule is unsupported by the recovered record, it remains OPEN and is routed to an explicit design decision instead of being fabricated.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Equoria Reconstructed Design Bible • Canonical Pass V6 • 9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5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3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8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990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oriaKicker">
    <w:name w:val="Equoria Kicker"/>
    <w:pPr>
      <w:spacing w:after="60"/>
    </w:pPr>
    <w:rPr>
      <w:rFonts w:ascii="Aptos" w:hAnsi="Aptos"/>
      <w:b/>
      <w:caps/>
      <w:color w:val="B99047"/>
      <w:sz w:val="16"/>
    </w:rPr>
  </w:style>
  <w:style w:type="paragraph" w:customStyle="1" w:styleId="EquoriaCallout">
    <w:name w:val="Equoria Callout"/>
    <w:pPr>
      <w:spacing w:before="100" w:after="140"/>
      <w:ind w:left="288" w:right="144"/>
    </w:pPr>
    <w:rPr>
      <w:rFonts w:ascii="Aptos" w:hAnsi="Aptos"/>
      <w:color w:val="17233A"/>
      <w:sz w:val="21"/>
    </w:rPr>
  </w:style>
  <w:style w:type="paragraph" w:customStyle="1" w:styleId="DeepNote">
    <w:name w:val="Deep Note"/>
    <w:rPr>
      <w:rFonts w:ascii="Aptos" w:hAnsi="Aptos"/>
      <w:i/>
      <w:sz w:val="18"/>
    </w:rPr>
  </w:style>
  <w:style w:type="paragraph" w:customStyle="1" w:styleId="DeepSmall">
    <w:name w:val="Deep 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