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pPr>
      <w:r>
        <w:t>EQUORIA DESIGN BIBLE  •  VOLUME 20 OF 23</w:t>
      </w:r>
    </w:p>
    <w:p>
      <w:pPr>
        <w:pStyle w:val="Title"/>
      </w:pPr>
      <w:r>
        <w:t>20. Monetization &amp; Premium Systems</w:t>
      </w:r>
    </w:p>
    <w:p>
      <w:pPr>
        <w:jc w:val="left"/>
        <w:pBdr>
          <w:bottom w:val="single" w:sz="12" w:space="1" w:color="B99047"/>
        </w:pBdr>
      </w:pPr>
      <w:r>
        <w:t>Recovered design intent • canonical updates through 8 October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3F0E8"/>
            <w:tcMar>
              <w:top w:w="130" w:type="dxa"/>
              <w:start w:w="150" w:type="dxa"/>
              <w:bottom w:w="130" w:type="dxa"/>
              <w:end w:w="150" w:type="dxa"/>
            </w:tcMar>
          </w:tcPr>
          <w:p>
            <w:r>
              <w:rPr>
                <w:b/>
                <w:color w:val="17233A"/>
                <w:sz w:val="21"/>
              </w:rPr>
              <w:t>Purpose of this volume</w:t>
              <w:br/>
            </w:r>
            <w:r>
              <w:rPr>
                <w:color w:val="20252E"/>
                <w:sz w:val="19"/>
              </w:rPr>
              <w:t>Reconstructs the historical monetization experiments and the later anti-pay-to-win boundary: cosmetic rider/avatar systems, token packs, appearance tokens within genetics, breed/stable expansions, show-hosting/QoL, subscriptions/season passes and the premium power proposals that now require redesign rather than silent reuse.</w:t>
            </w:r>
          </w:p>
        </w:tc>
      </w:tr>
    </w:tbl>
    <w:p/>
    <w:p>
      <w:pPr>
        <w:pStyle w:val="Heading1"/>
      </w:pPr>
      <w:r>
        <w:t>Canonical status snapshot</w:t>
      </w: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355E3B"/>
            <w:tcMar>
              <w:top w:w="80" w:type="dxa"/>
              <w:start w:w="90" w:type="dxa"/>
              <w:bottom w:w="80" w:type="dxa"/>
              <w:end w:w="90" w:type="dxa"/>
            </w:tcMar>
            <w:vAlign w:val="center"/>
          </w:tcPr>
          <w:p>
            <w:pPr>
              <w:jc w:val="center"/>
            </w:pPr>
            <w:r>
              <w:rPr>
                <w:rFonts w:ascii="Aptos" w:hAnsi="Aptos"/>
                <w:b/>
                <w:color w:val="FFFFFF"/>
                <w:sz w:val="16"/>
              </w:rPr>
              <w:t>LOCKED</w:t>
            </w:r>
          </w:p>
        </w:tc>
        <w:tc>
          <w:tcPr>
            <w:tcW w:type="dxa" w:w="4997"/>
            <w:shd w:fill="F7F8FA"/>
            <w:tcMar>
              <w:top w:w="80" w:type="dxa"/>
              <w:start w:w="120" w:type="dxa"/>
              <w:bottom w:w="80" w:type="dxa"/>
              <w:end w:w="120" w:type="dxa"/>
            </w:tcMar>
            <w:vAlign w:val="center"/>
          </w:tcPr>
          <w:p>
            <w:r>
              <w:rPr>
                <w:rFonts w:ascii="Aptos" w:hAnsi="Aptos"/>
                <w:color w:val="20252E"/>
                <w:sz w:val="19"/>
              </w:rPr>
              <w:t>Premium players cannot buy better horses or competitive outcomes. Premium may include earlier and later discussed content/features only within that boundary.</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715E31"/>
            <w:tcMar>
              <w:top w:w="80" w:type="dxa"/>
              <w:start w:w="90" w:type="dxa"/>
              <w:bottom w:w="80" w:type="dxa"/>
              <w:end w:w="90" w:type="dxa"/>
            </w:tcMar>
            <w:vAlign w:val="center"/>
          </w:tcPr>
          <w:p>
            <w:pPr>
              <w:jc w:val="center"/>
            </w:pPr>
            <w:r>
              <w:rPr>
                <w:rFonts w:ascii="Aptos" w:hAnsi="Aptos"/>
                <w:b/>
                <w:color w:val="FFFFFF"/>
                <w:sz w:val="16"/>
              </w:rPr>
              <w:t>PLANNED</w:t>
            </w:r>
          </w:p>
        </w:tc>
        <w:tc>
          <w:tcPr>
            <w:tcW w:type="dxa" w:w="4997"/>
            <w:shd w:fill="F7F8FA"/>
            <w:tcMar>
              <w:top w:w="80" w:type="dxa"/>
              <w:start w:w="120" w:type="dxa"/>
              <w:bottom w:w="80" w:type="dxa"/>
              <w:end w:w="120" w:type="dxa"/>
            </w:tcMar>
            <w:vAlign w:val="center"/>
          </w:tcPr>
          <w:p>
            <w:r>
              <w:rPr>
                <w:rFonts w:ascii="Aptos" w:hAnsi="Aptos"/>
                <w:color w:val="20252E"/>
                <w:sz w:val="19"/>
              </w:rPr>
              <w:t>Appearance tokens within genetic bounds, QoL/analysis, stable/breed/event/cosmetic premium concepts.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6A5775"/>
            <w:tcMar>
              <w:top w:w="80" w:type="dxa"/>
              <w:start w:w="90" w:type="dxa"/>
              <w:bottom w:w="80" w:type="dxa"/>
              <w:end w:w="90" w:type="dxa"/>
            </w:tcMar>
            <w:vAlign w:val="center"/>
          </w:tcPr>
          <w:p>
            <w:pPr>
              <w:jc w:val="center"/>
            </w:pPr>
            <w:r>
              <w:rPr>
                <w:rFonts w:ascii="Aptos" w:hAnsi="Aptos"/>
                <w:b/>
                <w:color w:val="FFFFFF"/>
                <w:sz w:val="16"/>
              </w:rPr>
              <w:t>EXPLORATORY</w:t>
            </w:r>
          </w:p>
        </w:tc>
        <w:tc>
          <w:tcPr>
            <w:tcW w:type="dxa" w:w="4997"/>
            <w:shd w:fill="F7F8FA"/>
            <w:tcMar>
              <w:top w:w="80" w:type="dxa"/>
              <w:start w:w="120" w:type="dxa"/>
              <w:bottom w:w="80" w:type="dxa"/>
              <w:end w:w="120" w:type="dxa"/>
            </w:tcMar>
            <w:vAlign w:val="center"/>
          </w:tcPr>
          <w:p>
            <w:r>
              <w:rPr>
                <w:rFonts w:ascii="Aptos" w:hAnsi="Aptos"/>
                <w:color w:val="20252E"/>
                <w:sz w:val="19"/>
              </w:rPr>
              <w:t>Historical token/subscription prices and packs.</w:t>
            </w:r>
          </w:p>
        </w:tc>
      </w:tr>
    </w:tbl>
    <w:p>
      <w:pPr>
        <w:spacing w:after="0"/>
      </w:pPr>
    </w:p>
    <w:tbl>
      <w:tblPr>
        <w:tblW w:type="auto" w:w="0"/>
        <w:jc w:val="center"/>
        <w:tblLayout w:type="fixed"/>
        <w:tblLook w:firstColumn="1" w:firstRow="1" w:lastColumn="0" w:lastRow="0" w:noHBand="0" w:noVBand="1" w:val="04A0"/>
      </w:tblPr>
      <w:tblGrid>
        <w:gridCol w:w="1699"/>
        <w:gridCol w:w="8568"/>
      </w:tblGrid>
      <w:tr>
        <w:trPr>
          <w:cantSplit/>
        </w:trPr>
        <w:tc>
          <w:tcPr>
            <w:tcW w:type="dxa" w:w="4997"/>
            <w:shd w:fill="8A4A4A"/>
            <w:tcMar>
              <w:top w:w="80" w:type="dxa"/>
              <w:start w:w="90" w:type="dxa"/>
              <w:bottom w:w="80" w:type="dxa"/>
              <w:end w:w="90" w:type="dxa"/>
            </w:tcMar>
            <w:vAlign w:val="center"/>
          </w:tcPr>
          <w:p>
            <w:pPr>
              <w:jc w:val="center"/>
            </w:pPr>
            <w:r>
              <w:rPr>
                <w:rFonts w:ascii="Aptos" w:hAnsi="Aptos"/>
                <w:b/>
                <w:color w:val="FFFFFF"/>
                <w:sz w:val="16"/>
              </w:rPr>
              <w:t>BOUNDARY</w:t>
            </w:r>
          </w:p>
        </w:tc>
        <w:tc>
          <w:tcPr>
            <w:tcW w:type="dxa" w:w="4997"/>
            <w:shd w:fill="F7F8FA"/>
            <w:tcMar>
              <w:top w:w="80" w:type="dxa"/>
              <w:start w:w="120" w:type="dxa"/>
              <w:bottom w:w="80" w:type="dxa"/>
              <w:end w:w="120" w:type="dxa"/>
            </w:tcMar>
            <w:vAlign w:val="center"/>
          </w:tcPr>
          <w:p>
            <w:r>
              <w:rPr>
                <w:rFonts w:ascii="Aptos" w:hAnsi="Aptos"/>
                <w:color w:val="20252E"/>
                <w:sz w:val="19"/>
              </w:rPr>
              <w:t>Direct purchase of superior horse stats/genetic quality or guaranteed competitive outcomes remains prohibited; older functional premium concepts must be redesigned to fit that boundary.</w:t>
            </w:r>
          </w:p>
        </w:tc>
      </w:tr>
    </w:tbl>
    <w:p>
      <w:pPr>
        <w:spacing w:after="0"/>
      </w:pPr>
    </w:p>
    <w:p>
      <w:pPr>
        <w:pStyle w:val="Heading1"/>
      </w:pPr>
      <w:r>
        <w:t>Current monetization principle</w:t>
      </w:r>
    </w:p>
    <w:tbl>
      <w:tblPr>
        <w:tblW w:type="auto" w:w="0"/>
        <w:jc w:val="center"/>
        <w:tblLayout w:type="autofit"/>
        <w:tblLook w:firstColumn="1" w:firstRow="1" w:lastColumn="0" w:lastRow="0" w:noHBand="0" w:noVBand="1" w:val="04A0"/>
      </w:tblPr>
      <w:tblGrid>
        <w:gridCol w:w="9994"/>
      </w:tblGrid>
      <w:tr>
        <w:trPr>
          <w:cantSplit/>
        </w:trPr>
        <w:tc>
          <w:tcPr>
            <w:tcW w:type="dxa" w:w="9994"/>
            <w:shd w:fill="EEF4F7"/>
            <w:tcMar>
              <w:top w:w="130" w:type="dxa"/>
              <w:start w:w="150" w:type="dxa"/>
              <w:bottom w:w="130" w:type="dxa"/>
              <w:end w:w="150" w:type="dxa"/>
            </w:tcMar>
          </w:tcPr>
          <w:p>
            <w:r>
              <w:rPr>
                <w:b/>
                <w:color w:val="17233A"/>
                <w:sz w:val="21"/>
              </w:rPr>
              <w:t>Design intent</w:t>
              <w:br/>
            </w:r>
            <w:r>
              <w:rPr>
                <w:color w:val="20252E"/>
                <w:sz w:val="19"/>
              </w:rPr>
              <w:t>Core horse strategy, genetics, breeding information and competitive viability should not require payment. Premium can sell cosmetics, convenience, extra expression and carefully bounded management/QoL—but not a higher permanent stat ceiling or exclusive winning genetics.</w:t>
            </w:r>
          </w:p>
        </w:tc>
      </w:tr>
    </w:tbl>
    <w:p/>
    <w:p>
      <w:pPr>
        <w:pStyle w:val="Heading1"/>
      </w:pPr>
      <w:r>
        <w:t>Historically accepted token pack proposal — archive values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17233A"/>
            <w:tcMar>
              <w:top w:w="80" w:type="dxa"/>
              <w:start w:w="90" w:type="dxa"/>
              <w:bottom w:w="80" w:type="dxa"/>
              <w:end w:w="90" w:type="dxa"/>
            </w:tcMar>
          </w:tcPr>
          <w:p>
            <w:r>
              <w:rPr>
                <w:b/>
                <w:color w:val="FFFFFF"/>
                <w:sz w:val="17"/>
              </w:rPr>
              <w:t>Price</w:t>
            </w:r>
          </w:p>
        </w:tc>
        <w:tc>
          <w:tcPr>
            <w:tcW w:type="dxa" w:w="7200"/>
            <w:shd w:fill="17233A"/>
            <w:tcMar>
              <w:top w:w="80" w:type="dxa"/>
              <w:start w:w="90" w:type="dxa"/>
              <w:bottom w:w="80" w:type="dxa"/>
              <w:end w:w="90" w:type="dxa"/>
            </w:tcMar>
          </w:tcPr>
          <w:p>
            <w:r>
              <w:rPr>
                <w:b/>
                <w:color w:val="FFFFFF"/>
                <w:sz w:val="17"/>
              </w:rPr>
              <w:t>Tokens</w:t>
            </w:r>
          </w:p>
        </w:tc>
      </w:tr>
      <w:tr>
        <w:trPr>
          <w:cantSplit/>
        </w:trPr>
        <w:tc>
          <w:tcPr>
            <w:tcW w:type="dxa" w:w="3168"/>
            <w:tcMar>
              <w:top w:w="70" w:type="dxa"/>
              <w:start w:w="90" w:type="dxa"/>
              <w:bottom w:w="70" w:type="dxa"/>
              <w:end w:w="90" w:type="dxa"/>
            </w:tcMar>
          </w:tcPr>
          <w:p>
            <w:r>
              <w:rPr>
                <w:color w:val="20252E"/>
                <w:sz w:val="17"/>
              </w:rPr>
              <w:t>$1.99</w:t>
            </w:r>
          </w:p>
        </w:tc>
        <w:tc>
          <w:tcPr>
            <w:tcW w:type="dxa" w:w="7200"/>
            <w:tcMar>
              <w:top w:w="70" w:type="dxa"/>
              <w:start w:w="90" w:type="dxa"/>
              <w:bottom w:w="70" w:type="dxa"/>
              <w:end w:w="90" w:type="dxa"/>
            </w:tcMar>
          </w:tcPr>
          <w:p>
            <w:r>
              <w:rPr>
                <w:color w:val="20252E"/>
                <w:sz w:val="17"/>
              </w:rPr>
              <w:t>100</w:t>
            </w:r>
          </w:p>
        </w:tc>
      </w:tr>
      <w:tr>
        <w:trPr>
          <w:cantSplit/>
        </w:trPr>
        <w:tc>
          <w:tcPr>
            <w:tcW w:type="dxa" w:w="3168"/>
            <w:shd w:fill="F7F8FA"/>
            <w:tcMar>
              <w:top w:w="70" w:type="dxa"/>
              <w:start w:w="90" w:type="dxa"/>
              <w:bottom w:w="70" w:type="dxa"/>
              <w:end w:w="90" w:type="dxa"/>
            </w:tcMar>
          </w:tcPr>
          <w:p>
            <w:r>
              <w:rPr>
                <w:color w:val="20252E"/>
                <w:sz w:val="17"/>
              </w:rPr>
              <w:t>$9.99</w:t>
            </w:r>
          </w:p>
        </w:tc>
        <w:tc>
          <w:tcPr>
            <w:tcW w:type="dxa" w:w="7200"/>
            <w:shd w:fill="F7F8FA"/>
            <w:tcMar>
              <w:top w:w="70" w:type="dxa"/>
              <w:start w:w="90" w:type="dxa"/>
              <w:bottom w:w="70" w:type="dxa"/>
              <w:end w:w="90" w:type="dxa"/>
            </w:tcMar>
          </w:tcPr>
          <w:p>
            <w:r>
              <w:rPr>
                <w:color w:val="20252E"/>
                <w:sz w:val="17"/>
              </w:rPr>
              <w:t>550</w:t>
            </w:r>
          </w:p>
        </w:tc>
      </w:tr>
      <w:tr>
        <w:trPr>
          <w:cantSplit/>
        </w:trPr>
        <w:tc>
          <w:tcPr>
            <w:tcW w:type="dxa" w:w="3168"/>
            <w:tcMar>
              <w:top w:w="70" w:type="dxa"/>
              <w:start w:w="90" w:type="dxa"/>
              <w:bottom w:w="70" w:type="dxa"/>
              <w:end w:w="90" w:type="dxa"/>
            </w:tcMar>
          </w:tcPr>
          <w:p>
            <w:r>
              <w:rPr>
                <w:color w:val="20252E"/>
                <w:sz w:val="17"/>
              </w:rPr>
              <w:t>$19.99</w:t>
            </w:r>
          </w:p>
        </w:tc>
        <w:tc>
          <w:tcPr>
            <w:tcW w:type="dxa" w:w="7200"/>
            <w:tcMar>
              <w:top w:w="70" w:type="dxa"/>
              <w:start w:w="90" w:type="dxa"/>
              <w:bottom w:w="70" w:type="dxa"/>
              <w:end w:w="90" w:type="dxa"/>
            </w:tcMar>
          </w:tcPr>
          <w:p>
            <w:r>
              <w:rPr>
                <w:color w:val="20252E"/>
                <w:sz w:val="17"/>
              </w:rPr>
              <w:t>1,200</w:t>
            </w:r>
          </w:p>
        </w:tc>
      </w:tr>
      <w:tr>
        <w:trPr>
          <w:cantSplit/>
        </w:trPr>
        <w:tc>
          <w:tcPr>
            <w:tcW w:type="dxa" w:w="3168"/>
            <w:shd w:fill="F7F8FA"/>
            <w:tcMar>
              <w:top w:w="70" w:type="dxa"/>
              <w:start w:w="90" w:type="dxa"/>
              <w:bottom w:w="70" w:type="dxa"/>
              <w:end w:w="90" w:type="dxa"/>
            </w:tcMar>
          </w:tcPr>
          <w:p>
            <w:r>
              <w:rPr>
                <w:color w:val="20252E"/>
                <w:sz w:val="17"/>
              </w:rPr>
              <w:t>$49.99</w:t>
            </w:r>
          </w:p>
        </w:tc>
        <w:tc>
          <w:tcPr>
            <w:tcW w:type="dxa" w:w="7200"/>
            <w:shd w:fill="F7F8FA"/>
            <w:tcMar>
              <w:top w:w="70" w:type="dxa"/>
              <w:start w:w="90" w:type="dxa"/>
              <w:bottom w:w="70" w:type="dxa"/>
              <w:end w:w="90" w:type="dxa"/>
            </w:tcMar>
          </w:tcPr>
          <w:p>
            <w:r>
              <w:rPr>
                <w:color w:val="20252E"/>
                <w:sz w:val="17"/>
              </w:rPr>
              <w:t>3,250</w:t>
            </w:r>
          </w:p>
        </w:tc>
      </w:tr>
      <w:tr>
        <w:trPr>
          <w:cantSplit/>
        </w:trPr>
        <w:tc>
          <w:tcPr>
            <w:tcW w:type="dxa" w:w="3168"/>
            <w:tcMar>
              <w:top w:w="70" w:type="dxa"/>
              <w:start w:w="90" w:type="dxa"/>
              <w:bottom w:w="70" w:type="dxa"/>
              <w:end w:w="90" w:type="dxa"/>
            </w:tcMar>
          </w:tcPr>
          <w:p>
            <w:r>
              <w:rPr>
                <w:color w:val="20252E"/>
                <w:sz w:val="17"/>
              </w:rPr>
              <w:t>$99.99</w:t>
            </w:r>
          </w:p>
        </w:tc>
        <w:tc>
          <w:tcPr>
            <w:tcW w:type="dxa" w:w="7200"/>
            <w:tcMar>
              <w:top w:w="70" w:type="dxa"/>
              <w:start w:w="90" w:type="dxa"/>
              <w:bottom w:w="70" w:type="dxa"/>
              <w:end w:w="90" w:type="dxa"/>
            </w:tcMar>
          </w:tcPr>
          <w:p>
            <w:r>
              <w:rPr>
                <w:color w:val="20252E"/>
                <w:sz w:val="17"/>
              </w:rPr>
              <w:t>7,500</w:t>
            </w:r>
          </w:p>
        </w:tc>
      </w:tr>
    </w:tbl>
    <w:p/>
    <w:p>
      <w:pPr>
        <w:pStyle w:val="Heading1"/>
      </w:pPr>
      <w:r>
        <w:t>Historical example token uses — not current prices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6480"/>
            <w:shd w:fill="17233A"/>
            <w:tcMar>
              <w:top w:w="80" w:type="dxa"/>
              <w:start w:w="90" w:type="dxa"/>
              <w:bottom w:w="80" w:type="dxa"/>
              <w:end w:w="90" w:type="dxa"/>
            </w:tcMar>
          </w:tcPr>
          <w:p>
            <w:r>
              <w:rPr>
                <w:b/>
                <w:color w:val="FFFFFF"/>
                <w:sz w:val="17"/>
              </w:rPr>
              <w:t>Example use</w:t>
            </w:r>
          </w:p>
        </w:tc>
        <w:tc>
          <w:tcPr>
            <w:tcW w:type="dxa" w:w="3888"/>
            <w:shd w:fill="17233A"/>
            <w:tcMar>
              <w:top w:w="80" w:type="dxa"/>
              <w:start w:w="90" w:type="dxa"/>
              <w:bottom w:w="80" w:type="dxa"/>
              <w:end w:w="90" w:type="dxa"/>
            </w:tcMar>
          </w:tcPr>
          <w:p>
            <w:r>
              <w:rPr>
                <w:b/>
                <w:color w:val="FFFFFF"/>
                <w:sz w:val="17"/>
              </w:rPr>
              <w:t>Token cost</w:t>
            </w:r>
          </w:p>
        </w:tc>
      </w:tr>
      <w:tr>
        <w:trPr>
          <w:cantSplit/>
        </w:trPr>
        <w:tc>
          <w:tcPr>
            <w:tcW w:type="dxa" w:w="6480"/>
            <w:tcMar>
              <w:top w:w="70" w:type="dxa"/>
              <w:start w:w="90" w:type="dxa"/>
              <w:bottom w:w="70" w:type="dxa"/>
              <w:end w:w="90" w:type="dxa"/>
            </w:tcMar>
          </w:tcPr>
          <w:p>
            <w:r>
              <w:rPr>
                <w:color w:val="20252E"/>
                <w:sz w:val="17"/>
              </w:rPr>
              <w:t>Stallion breeding / breeding action example</w:t>
            </w:r>
          </w:p>
        </w:tc>
        <w:tc>
          <w:tcPr>
            <w:tcW w:type="dxa" w:w="3888"/>
            <w:tcMar>
              <w:top w:w="70" w:type="dxa"/>
              <w:start w:w="90" w:type="dxa"/>
              <w:bottom w:w="70" w:type="dxa"/>
              <w:end w:w="90" w:type="dxa"/>
            </w:tcMar>
          </w:tcPr>
          <w:p>
            <w:r>
              <w:rPr>
                <w:color w:val="20252E"/>
                <w:sz w:val="17"/>
              </w:rPr>
              <w:t>150</w:t>
            </w:r>
          </w:p>
        </w:tc>
      </w:tr>
      <w:tr>
        <w:trPr>
          <w:cantSplit/>
        </w:trPr>
        <w:tc>
          <w:tcPr>
            <w:tcW w:type="dxa" w:w="6480"/>
            <w:shd w:fill="F7F8FA"/>
            <w:tcMar>
              <w:top w:w="70" w:type="dxa"/>
              <w:start w:w="90" w:type="dxa"/>
              <w:bottom w:w="70" w:type="dxa"/>
              <w:end w:w="90" w:type="dxa"/>
            </w:tcMar>
          </w:tcPr>
          <w:p>
            <w:r>
              <w:rPr>
                <w:color w:val="20252E"/>
                <w:sz w:val="17"/>
              </w:rPr>
              <w:t>Foal reveal shortcut</w:t>
            </w:r>
          </w:p>
        </w:tc>
        <w:tc>
          <w:tcPr>
            <w:tcW w:type="dxa" w:w="3888"/>
            <w:shd w:fill="F7F8FA"/>
            <w:tcMar>
              <w:top w:w="70" w:type="dxa"/>
              <w:start w:w="90" w:type="dxa"/>
              <w:bottom w:w="70" w:type="dxa"/>
              <w:end w:w="90" w:type="dxa"/>
            </w:tcMar>
          </w:tcPr>
          <w:p>
            <w:r>
              <w:rPr>
                <w:color w:val="20252E"/>
                <w:sz w:val="17"/>
              </w:rPr>
              <w:t>50</w:t>
            </w:r>
          </w:p>
        </w:tc>
      </w:tr>
      <w:tr>
        <w:trPr>
          <w:cantSplit/>
        </w:trPr>
        <w:tc>
          <w:tcPr>
            <w:tcW w:type="dxa" w:w="6480"/>
            <w:tcMar>
              <w:top w:w="70" w:type="dxa"/>
              <w:start w:w="90" w:type="dxa"/>
              <w:bottom w:w="70" w:type="dxa"/>
              <w:end w:w="90" w:type="dxa"/>
            </w:tcMar>
          </w:tcPr>
          <w:p>
            <w:r>
              <w:rPr>
                <w:color w:val="20252E"/>
                <w:sz w:val="17"/>
              </w:rPr>
              <w:t>Special/event entry</w:t>
            </w:r>
          </w:p>
        </w:tc>
        <w:tc>
          <w:tcPr>
            <w:tcW w:type="dxa" w:w="3888"/>
            <w:tcMar>
              <w:top w:w="70" w:type="dxa"/>
              <w:start w:w="90" w:type="dxa"/>
              <w:bottom w:w="70" w:type="dxa"/>
              <w:end w:w="90" w:type="dxa"/>
            </w:tcMar>
          </w:tcPr>
          <w:p>
            <w:r>
              <w:rPr>
                <w:color w:val="20252E"/>
                <w:sz w:val="17"/>
              </w:rPr>
              <w:t>200</w:t>
            </w:r>
          </w:p>
        </w:tc>
      </w:tr>
      <w:tr>
        <w:trPr>
          <w:cantSplit/>
        </w:trPr>
        <w:tc>
          <w:tcPr>
            <w:tcW w:type="dxa" w:w="6480"/>
            <w:shd w:fill="F7F8FA"/>
            <w:tcMar>
              <w:top w:w="70" w:type="dxa"/>
              <w:start w:w="90" w:type="dxa"/>
              <w:bottom w:w="70" w:type="dxa"/>
              <w:end w:w="90" w:type="dxa"/>
            </w:tcMar>
          </w:tcPr>
          <w:p>
            <w:r>
              <w:rPr>
                <w:color w:val="20252E"/>
                <w:sz w:val="17"/>
              </w:rPr>
              <w:t>Prestige tack item</w:t>
            </w:r>
          </w:p>
        </w:tc>
        <w:tc>
          <w:tcPr>
            <w:tcW w:type="dxa" w:w="3888"/>
            <w:shd w:fill="F7F8FA"/>
            <w:tcMar>
              <w:top w:w="70" w:type="dxa"/>
              <w:start w:w="90" w:type="dxa"/>
              <w:bottom w:w="70" w:type="dxa"/>
              <w:end w:w="90" w:type="dxa"/>
            </w:tcMar>
          </w:tcPr>
          <w:p>
            <w:r>
              <w:rPr>
                <w:color w:val="20252E"/>
                <w:sz w:val="17"/>
              </w:rPr>
              <w:t>350</w:t>
            </w:r>
          </w:p>
        </w:tc>
      </w:tr>
      <w:tr>
        <w:trPr>
          <w:cantSplit/>
        </w:trPr>
        <w:tc>
          <w:tcPr>
            <w:tcW w:type="dxa" w:w="6480"/>
            <w:tcMar>
              <w:top w:w="70" w:type="dxa"/>
              <w:start w:w="90" w:type="dxa"/>
              <w:bottom w:w="70" w:type="dxa"/>
              <w:end w:w="90" w:type="dxa"/>
            </w:tcMar>
          </w:tcPr>
          <w:p>
            <w:r>
              <w:rPr>
                <w:color w:val="20252E"/>
                <w:sz w:val="17"/>
              </w:rPr>
              <w:t>Stable stall/expansion</w:t>
            </w:r>
          </w:p>
        </w:tc>
        <w:tc>
          <w:tcPr>
            <w:tcW w:type="dxa" w:w="3888"/>
            <w:tcMar>
              <w:top w:w="70" w:type="dxa"/>
              <w:start w:w="90" w:type="dxa"/>
              <w:bottom w:w="70" w:type="dxa"/>
              <w:end w:w="90" w:type="dxa"/>
            </w:tcMar>
          </w:tcPr>
          <w:p>
            <w:r>
              <w:rPr>
                <w:color w:val="20252E"/>
                <w:sz w:val="17"/>
              </w:rPr>
              <w:t>500</w:t>
            </w:r>
          </w:p>
        </w:tc>
      </w:tr>
    </w:tbl>
    <w:p/>
    <w:p>
      <w:pPr>
        <w:pStyle w:val="Heading1"/>
      </w:pPr>
      <w:r>
        <w:t>Appearance Tokens — accepted constraint</w:t>
      </w:r>
    </w:p>
    <w:p>
      <w:pPr>
        <w:pStyle w:val="ListBullet"/>
        <w:spacing w:after="60"/>
      </w:pPr>
      <w:r>
        <w:t>Appearance tokens were accepted as a monetization/customization idea.</w:t>
      </w:r>
    </w:p>
    <w:p>
      <w:pPr>
        <w:pStyle w:val="ListBullet"/>
        <w:spacing w:after="60"/>
      </w:pPr>
      <w:r>
        <w:t>They may change only appearance traits that are genetically valid for that horse.</w:t>
      </w:r>
    </w:p>
    <w:p>
      <w:pPr>
        <w:pStyle w:val="ListBullet"/>
        <w:spacing w:after="60"/>
      </w:pPr>
      <w:r>
        <w:t>They cannot rewrite genotype, add impossible white patterns or create a rare allele the horse does not possess.</w:t>
      </w:r>
    </w:p>
    <w:p>
      <w:pPr>
        <w:pStyle w:val="ListBullet"/>
        <w:spacing w:after="60"/>
      </w:pPr>
      <w:r>
        <w:t>Rotating monthly appearance packs and event-unlock bundles were accepted concepts.</w:t>
      </w:r>
    </w:p>
    <w:p>
      <w:pPr>
        <w:pStyle w:val="ListBullet"/>
        <w:spacing w:after="60"/>
      </w:pPr>
      <w:r>
        <w:t>This preserves the value of genetics while still selling cosmetic expression.</w:t>
      </w:r>
    </w:p>
    <w:p>
      <w:pPr>
        <w:pStyle w:val="Heading1"/>
      </w:pPr>
      <w:r>
        <w:t>Other accepted/planned premium categories</w:t>
      </w:r>
    </w:p>
    <w:p>
      <w:pPr>
        <w:pStyle w:val="ListBullet"/>
        <w:spacing w:after="60"/>
      </w:pPr>
      <w:r>
        <w:t>Rider/avatar cosmetic outfits — explicitly suitable for optional microtransactions.</w:t>
      </w:r>
    </w:p>
    <w:p>
      <w:pPr>
        <w:pStyle w:val="ListBullet"/>
        <w:spacing w:after="60"/>
      </w:pPr>
      <w:r>
        <w:t>Breed passes were accepted as a concept, but what they unlock must be fairness-reviewed so they do not create exclusive superior genetics.</w:t>
      </w:r>
    </w:p>
    <w:p>
      <w:pPr>
        <w:pStyle w:val="ListBullet"/>
        <w:spacing w:after="60"/>
      </w:pPr>
      <w:r>
        <w:t>Stable expansion was accepted as a monetization possibility.</w:t>
      </w:r>
    </w:p>
    <w:p>
      <w:pPr>
        <w:pStyle w:val="ListBullet"/>
        <w:spacing w:after="60"/>
      </w:pPr>
      <w:r>
        <w:t>Rotating bundles/event unlock packs.</w:t>
      </w:r>
    </w:p>
    <w:p>
      <w:pPr>
        <w:pStyle w:val="ListBullet"/>
        <w:spacing w:after="60"/>
      </w:pPr>
      <w:r>
        <w:t>Saved competition-search preferences and management convenience.</w:t>
      </w:r>
    </w:p>
    <w:p>
      <w:pPr>
        <w:pStyle w:val="ListBullet"/>
        <w:spacing w:after="60"/>
      </w:pPr>
      <w:r>
        <w:t>Trait/compatibility analysis tools, provided free players still have usable strategic information.</w:t>
      </w:r>
    </w:p>
    <w:p>
      <w:pPr>
        <w:pStyle w:val="ListBullet"/>
        <w:spacing w:after="60"/>
      </w:pPr>
      <w:r>
        <w:t>Additional show-hosting allowance was explicitly part of old basic/premium design.</w:t>
      </w:r>
    </w:p>
    <w:p>
      <w:pPr>
        <w:pStyle w:val="ListBullet"/>
        <w:spacing w:after="60"/>
      </w:pPr>
      <w:r>
        <w:t>Seasonal/event access/pass concepts.</w:t>
      </w:r>
    </w:p>
    <w:p>
      <w:pPr>
        <w:pStyle w:val="Heading1"/>
      </w:pPr>
      <w:r>
        <w:t>Basic versus premium show hosting — historical accepted value</w:t>
      </w:r>
    </w:p>
    <w:p>
      <w:pPr>
        <w:pStyle w:val="ListBullet"/>
        <w:spacing w:after="60"/>
      </w:pPr>
      <w:r>
        <w:t>Basic: 10 user-created shows per week.</w:t>
      </w:r>
    </w:p>
    <w:p>
      <w:pPr>
        <w:pStyle w:val="ListBullet"/>
        <w:spacing w:after="60"/>
      </w:pPr>
      <w:r>
        <w:t>Premium: 100 user-created shows per week.</w:t>
      </w:r>
    </w:p>
    <w:p>
      <w:pPr>
        <w:pStyle w:val="ListBullet"/>
        <w:spacing w:after="60"/>
      </w:pPr>
      <w:r>
        <w:t>This was directly accepted in early planning, but because show hosting can generate fees/economy influence, the 10× differential should receive a fresh economy/fairness review before being treated as launch balance.</w:t>
      </w:r>
    </w:p>
    <w:p>
      <w:pPr>
        <w:pStyle w:val="Heading1"/>
      </w:pPr>
      <w:r>
        <w:t>Historical subscription-tier proposal — archive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17233A"/>
            <w:tcMar>
              <w:top w:w="80" w:type="dxa"/>
              <w:start w:w="90" w:type="dxa"/>
              <w:bottom w:w="80" w:type="dxa"/>
              <w:end w:w="90" w:type="dxa"/>
            </w:tcMar>
          </w:tcPr>
          <w:p>
            <w:r>
              <w:rPr>
                <w:b/>
                <w:color w:val="FFFFFF"/>
                <w:sz w:val="17"/>
              </w:rPr>
              <w:t>Tier</w:t>
            </w:r>
          </w:p>
        </w:tc>
        <w:tc>
          <w:tcPr>
            <w:tcW w:type="dxa" w:w="2304"/>
            <w:shd w:fill="17233A"/>
            <w:tcMar>
              <w:top w:w="80" w:type="dxa"/>
              <w:start w:w="90" w:type="dxa"/>
              <w:bottom w:w="80" w:type="dxa"/>
              <w:end w:w="90" w:type="dxa"/>
            </w:tcMar>
          </w:tcPr>
          <w:p>
            <w:r>
              <w:rPr>
                <w:b/>
                <w:color w:val="FFFFFF"/>
                <w:sz w:val="17"/>
              </w:rPr>
              <w:t>Approx. old price</w:t>
            </w:r>
          </w:p>
        </w:tc>
        <w:tc>
          <w:tcPr>
            <w:tcW w:type="dxa" w:w="6192"/>
            <w:shd w:fill="17233A"/>
            <w:tcMar>
              <w:top w:w="80" w:type="dxa"/>
              <w:start w:w="90" w:type="dxa"/>
              <w:bottom w:w="80" w:type="dxa"/>
              <w:end w:w="90" w:type="dxa"/>
            </w:tcMar>
          </w:tcPr>
          <w:p>
            <w:r>
              <w:rPr>
                <w:b/>
                <w:color w:val="FFFFFF"/>
                <w:sz w:val="17"/>
              </w:rPr>
              <w:t>Examples that were proposed</w:t>
            </w:r>
          </w:p>
        </w:tc>
      </w:tr>
      <w:tr>
        <w:trPr>
          <w:cantSplit/>
        </w:trPr>
        <w:tc>
          <w:tcPr>
            <w:tcW w:type="dxa" w:w="1872"/>
            <w:tcMar>
              <w:top w:w="70" w:type="dxa"/>
              <w:start w:w="90" w:type="dxa"/>
              <w:bottom w:w="70" w:type="dxa"/>
              <w:end w:w="90" w:type="dxa"/>
            </w:tcMar>
          </w:tcPr>
          <w:p>
            <w:r>
              <w:rPr>
                <w:color w:val="20252E"/>
                <w:sz w:val="17"/>
              </w:rPr>
              <w:t>Bronze</w:t>
            </w:r>
          </w:p>
        </w:tc>
        <w:tc>
          <w:tcPr>
            <w:tcW w:type="dxa" w:w="2304"/>
            <w:tcMar>
              <w:top w:w="70" w:type="dxa"/>
              <w:start w:w="90" w:type="dxa"/>
              <w:bottom w:w="70" w:type="dxa"/>
              <w:end w:w="90" w:type="dxa"/>
            </w:tcMar>
          </w:tcPr>
          <w:p>
            <w:r>
              <w:rPr>
                <w:color w:val="20252E"/>
                <w:sz w:val="17"/>
              </w:rPr>
              <w:t>$5/mo</w:t>
            </w:r>
          </w:p>
        </w:tc>
        <w:tc>
          <w:tcPr>
            <w:tcW w:type="dxa" w:w="6192"/>
            <w:tcMar>
              <w:top w:w="70" w:type="dxa"/>
              <w:start w:w="90" w:type="dxa"/>
              <w:bottom w:w="70" w:type="dxa"/>
              <w:end w:w="90" w:type="dxa"/>
            </w:tcMar>
          </w:tcPr>
          <w:p>
            <w:r>
              <w:rPr>
                <w:color w:val="20252E"/>
                <w:sz w:val="17"/>
              </w:rPr>
              <w:t>Training convenience/bonus ideas, extra breeding slots, avatar/cosmetic value.</w:t>
            </w:r>
          </w:p>
        </w:tc>
      </w:tr>
      <w:tr>
        <w:trPr>
          <w:cantSplit/>
        </w:trPr>
        <w:tc>
          <w:tcPr>
            <w:tcW w:type="dxa" w:w="1872"/>
            <w:shd w:fill="F7F8FA"/>
            <w:tcMar>
              <w:top w:w="70" w:type="dxa"/>
              <w:start w:w="90" w:type="dxa"/>
              <w:bottom w:w="70" w:type="dxa"/>
              <w:end w:w="90" w:type="dxa"/>
            </w:tcMar>
          </w:tcPr>
          <w:p>
            <w:r>
              <w:rPr>
                <w:color w:val="20252E"/>
                <w:sz w:val="17"/>
              </w:rPr>
              <w:t>Silver</w:t>
            </w:r>
          </w:p>
        </w:tc>
        <w:tc>
          <w:tcPr>
            <w:tcW w:type="dxa" w:w="2304"/>
            <w:shd w:fill="F7F8FA"/>
            <w:tcMar>
              <w:top w:w="70" w:type="dxa"/>
              <w:start w:w="90" w:type="dxa"/>
              <w:bottom w:w="70" w:type="dxa"/>
              <w:end w:w="90" w:type="dxa"/>
            </w:tcMar>
          </w:tcPr>
          <w:p>
            <w:r>
              <w:rPr>
                <w:color w:val="20252E"/>
                <w:sz w:val="17"/>
              </w:rPr>
              <w:t>$10/mo</w:t>
            </w:r>
          </w:p>
        </w:tc>
        <w:tc>
          <w:tcPr>
            <w:tcW w:type="dxa" w:w="6192"/>
            <w:shd w:fill="F7F8FA"/>
            <w:tcMar>
              <w:top w:w="70" w:type="dxa"/>
              <w:start w:w="90" w:type="dxa"/>
              <w:bottom w:w="70" w:type="dxa"/>
              <w:end w:w="90" w:type="dxa"/>
            </w:tcMar>
          </w:tcPr>
          <w:p>
            <w:r>
              <w:rPr>
                <w:color w:val="20252E"/>
                <w:sz w:val="17"/>
              </w:rPr>
              <w:t>More history/analysis and event discounts.</w:t>
            </w:r>
          </w:p>
        </w:tc>
      </w:tr>
      <w:tr>
        <w:trPr>
          <w:cantSplit/>
        </w:trPr>
        <w:tc>
          <w:tcPr>
            <w:tcW w:type="dxa" w:w="1872"/>
            <w:tcMar>
              <w:top w:w="70" w:type="dxa"/>
              <w:start w:w="90" w:type="dxa"/>
              <w:bottom w:w="70" w:type="dxa"/>
              <w:end w:w="90" w:type="dxa"/>
            </w:tcMar>
          </w:tcPr>
          <w:p>
            <w:r>
              <w:rPr>
                <w:color w:val="20252E"/>
                <w:sz w:val="17"/>
              </w:rPr>
              <w:t>Gold</w:t>
            </w:r>
          </w:p>
        </w:tc>
        <w:tc>
          <w:tcPr>
            <w:tcW w:type="dxa" w:w="2304"/>
            <w:tcMar>
              <w:top w:w="70" w:type="dxa"/>
              <w:start w:w="90" w:type="dxa"/>
              <w:bottom w:w="70" w:type="dxa"/>
              <w:end w:w="90" w:type="dxa"/>
            </w:tcMar>
          </w:tcPr>
          <w:p>
            <w:r>
              <w:rPr>
                <w:color w:val="20252E"/>
                <w:sz w:val="17"/>
              </w:rPr>
              <w:t>$20/mo</w:t>
            </w:r>
          </w:p>
        </w:tc>
        <w:tc>
          <w:tcPr>
            <w:tcW w:type="dxa" w:w="6192"/>
            <w:tcMar>
              <w:top w:w="70" w:type="dxa"/>
              <w:start w:w="90" w:type="dxa"/>
              <w:bottom w:w="70" w:type="dxa"/>
              <w:end w:w="90" w:type="dxa"/>
            </w:tcMar>
          </w:tcPr>
          <w:p>
            <w:r>
              <w:rPr>
                <w:color w:val="20252E"/>
                <w:sz w:val="17"/>
              </w:rPr>
              <w:t>Exclusive legacy-horse/stat-preview/power-style benefits were proposed.</w:t>
            </w:r>
          </w:p>
        </w:tc>
      </w:tr>
    </w:tbl>
    <w:p/>
    <w:p>
      <w:pPr>
        <w:pStyle w:val="Heading1"/>
      </w:pPr>
      <w:r>
        <w:t>Why old subscription power needs redesign</w:t>
      </w:r>
    </w:p>
    <w:p>
      <w:r>
        <w:t>Several historical subscription ideas—training percentage bonuses, exclusive legacy horses, stat-cap/preview power, extra breeding advantage—conflict with the later explicit preference to avoid pay-to-win. They are preserved here so they are not accidentally rediscovered and presented as new.</w:t>
      </w:r>
    </w:p>
    <w:p>
      <w:r>
        <w:t>If subscription tiers return, safest value lies in cosmetics, management capacity/convenience, personalization, archival/analysis tools, extra presentation slots and nonexclusive seasonal content.</w:t>
      </w:r>
    </w:p>
    <w:p>
      <w:pPr>
        <w:pStyle w:val="Heading1"/>
      </w:pPr>
      <w:r>
        <w:t>Premium jobs / professions — superseded as power gate</w:t>
      </w:r>
    </w:p>
    <w:p>
      <w:pPr>
        <w:pStyle w:val="ListBullet"/>
        <w:spacing w:after="60"/>
      </w:pPr>
      <w:r>
        <w:t>Premium-only Vet/Breeder/Farrier/Trainer job powers were proposed early.</w:t>
      </w:r>
    </w:p>
    <w:p>
      <w:pPr>
        <w:pStyle w:val="ListBullet"/>
        <w:spacing w:after="60"/>
      </w:pPr>
      <w:r>
        <w:t>Examples included random stat gains, sex selection, inherited-stat boosts and permanent training/tack bonuses.</w:t>
      </w:r>
    </w:p>
    <w:p>
      <w:pPr>
        <w:pStyle w:val="ListBullet"/>
        <w:spacing w:after="60"/>
      </w:pPr>
      <w:r>
        <w:t>These are incompatible with the current anti-pay-to-win principle and should not be implemented without fundamental redesign.</w:t>
      </w:r>
    </w:p>
    <w:p>
      <w:pPr>
        <w:pStyle w:val="ListBullet"/>
        <w:spacing w:after="60"/>
      </w:pPr>
      <w:r>
        <w:t>Profession gameplay itself should exist in normal play if it is a meaningful economy/crafting system.</w:t>
      </w:r>
    </w:p>
    <w:p>
      <w:pPr>
        <w:pStyle w:val="Heading1"/>
      </w:pPr>
      <w:r>
        <w:t>Premium rider consultants / analytics</w:t>
      </w:r>
    </w:p>
    <w:p>
      <w:pPr>
        <w:pStyle w:val="ListBullet"/>
        <w:spacing w:after="60"/>
      </w:pPr>
      <w:r>
        <w:t>Retired elite riders as premium consultants were proposed.</w:t>
      </w:r>
    </w:p>
    <w:p>
      <w:pPr>
        <w:pStyle w:val="ListBullet"/>
        <w:spacing w:after="60"/>
      </w:pPr>
      <w:r>
        <w:t>Exact numeric rider-compatibility breakdown was proposed as premium while all players receive green/yellow/red compatibility.</w:t>
      </w:r>
    </w:p>
    <w:p>
      <w:pPr>
        <w:pStyle w:val="ListBullet"/>
        <w:spacing w:after="60"/>
      </w:pPr>
      <w:r>
        <w:t>Consultants that grant exclusive competition power are risky and require redesign.</w:t>
      </w:r>
    </w:p>
    <w:p>
      <w:pPr>
        <w:pStyle w:val="ListBullet"/>
        <w:spacing w:after="60"/>
      </w:pPr>
      <w:r>
        <w:t>Analysis can be premium only if free players retain enough information to make competent strategic choices.</w:t>
      </w:r>
    </w:p>
    <w:p>
      <w:pPr>
        <w:pStyle w:val="Heading1"/>
      </w:pPr>
      <w:r>
        <w:t>Breed passes and special horses</w:t>
      </w:r>
    </w:p>
    <w:p>
      <w:r>
        <w:t>Breed passes, limited-time horses/foals and seasonal collectible ideas can have unusually large downstream effects because horses reproduce and enter the player market. Any monetized breed/genetic access needs a separate “permanent economy/genetics impact” review, not the same treatment as a cosmetic skin.</w:t>
      </w:r>
    </w:p>
    <w:p>
      <w:r>
        <w:t>A rare coat/pattern sold as cosmetic must still obey genetic truth; a rare allele sold only for cash is a competitive/breeding advantage even if its immediate stat line is neutral.</w:t>
      </w:r>
    </w:p>
    <w:p>
      <w:pPr>
        <w:pStyle w:val="Heading1"/>
      </w:pPr>
      <w:r>
        <w:t>Randomized monetization concepts</w:t>
      </w:r>
    </w:p>
    <w:p>
      <w:pPr>
        <w:pStyle w:val="ListBullet"/>
        <w:spacing w:after="60"/>
      </w:pPr>
      <w:r>
        <w:t>Randomized breeding/collectible boxes and rewarded ads appeared in brainstorming.</w:t>
      </w:r>
    </w:p>
    <w:p>
      <w:pPr>
        <w:pStyle w:val="ListBullet"/>
        <w:spacing w:after="60"/>
      </w:pPr>
      <w:r>
        <w:t>No current lock supports making chance purchases central to Equoria.</w:t>
      </w:r>
    </w:p>
    <w:p>
      <w:pPr>
        <w:pStyle w:val="ListBullet"/>
        <w:spacing w:after="60"/>
      </w:pPr>
      <w:r>
        <w:t>If randomness is ever monetized, disclosure, age/audience suitability and fairness require dedicated design/legal review.</w:t>
      </w:r>
    </w:p>
    <w:p>
      <w:pPr>
        <w:pStyle w:val="ListBullet"/>
        <w:spacing w:after="60"/>
      </w:pPr>
      <w:r>
        <w:t>The safer current direction is transparent purchase of cosmetic/QoL value.</w:t>
      </w:r>
    </w:p>
    <w:p>
      <w:pPr>
        <w:pStyle w:val="Heading1"/>
      </w:pPr>
      <w:r>
        <w:t>Ethics guide intent</w:t>
      </w:r>
    </w:p>
    <w:p>
      <w:pPr>
        <w:pStyle w:val="ListBullet"/>
        <w:spacing w:after="60"/>
      </w:pPr>
      <w:r>
        <w:t>User explicitly accepted creating an ethics guide around monetized appearance/breed/stable systems.</w:t>
      </w:r>
    </w:p>
    <w:p>
      <w:pPr>
        <w:pStyle w:val="ListBullet"/>
        <w:spacing w:after="60"/>
      </w:pPr>
      <w:r>
        <w:t>Do not hide core genetics truth behind payment.</w:t>
      </w:r>
    </w:p>
    <w:p>
      <w:pPr>
        <w:pStyle w:val="ListBullet"/>
        <w:spacing w:after="60"/>
      </w:pPr>
      <w:r>
        <w:t>Do not sell permanent competitive stat ceilings.</w:t>
      </w:r>
    </w:p>
    <w:p>
      <w:pPr>
        <w:pStyle w:val="ListBullet"/>
        <w:spacing w:after="60"/>
      </w:pPr>
      <w:r>
        <w:t>Do not make ordinary stable maintenance intentionally painful to force payment.</w:t>
      </w:r>
    </w:p>
    <w:p>
      <w:pPr>
        <w:pStyle w:val="ListBullet"/>
        <w:spacing w:after="60"/>
      </w:pPr>
      <w:r>
        <w:t>Clearly distinguish base currency and premium currency.</w:t>
      </w:r>
    </w:p>
    <w:p>
      <w:pPr>
        <w:pStyle w:val="ListBullet"/>
        <w:spacing w:after="60"/>
      </w:pPr>
      <w:r>
        <w:t>Avoid premium systems that distort player-driven economy/registries in ways free players cannot counter through gameplay.</w:t>
      </w:r>
    </w:p>
    <w:p>
      <w:pPr>
        <w:pStyle w:val="Heading1"/>
      </w:pPr>
      <w:r>
        <w:t>Do-not-drift guardrails</w:t>
      </w:r>
    </w:p>
    <w:tbl>
      <w:tblPr>
        <w:tblW w:type="auto" w:w="0"/>
        <w:jc w:val="center"/>
        <w:tblLayout w:type="autofit"/>
        <w:tblLook w:firstColumn="1" w:firstRow="1" w:lastColumn="0" w:lastRow="0" w:noHBand="0" w:noVBand="1" w:val="04A0"/>
      </w:tblPr>
      <w:tblGrid>
        <w:gridCol w:w="9994"/>
      </w:tblGrid>
      <w:tr>
        <w:trPr>
          <w:cantSplit/>
        </w:trPr>
        <w:tc>
          <w:tcPr>
            <w:tcW w:type="dxa" w:w="9994"/>
            <w:shd w:fill="FBEFEF"/>
            <w:tcMar>
              <w:top w:w="130" w:type="dxa"/>
              <w:start w:w="150" w:type="dxa"/>
              <w:bottom w:w="130" w:type="dxa"/>
              <w:end w:w="150" w:type="dxa"/>
            </w:tcMar>
          </w:tcPr>
          <w:p>
            <w:r>
              <w:rPr>
                <w:b/>
                <w:color w:val="17233A"/>
                <w:sz w:val="21"/>
              </w:rPr>
              <w:t>Lock against reinterpretation</w:t>
              <w:br/>
            </w:r>
            <w:r>
              <w:rPr>
                <w:color w:val="20252E"/>
                <w:sz w:val="19"/>
              </w:rPr>
              <w:t>Do not treat historical token/subscription numbers as current prices without a fresh pass. Appearance changes must remain within genetics. Premium must not grant exclusive permanent stat/genetic power. Old premium professions, sex selection, inherited-stat bonuses and exclusive legacy-horse power are archived conflicts, not current features.</w:t>
            </w:r>
          </w:p>
        </w:tc>
      </w:tr>
    </w:tbl>
    <w:p/>
    <w:p>
      <w:pPr>
        <w:pStyle w:val="Heading1"/>
      </w:pPr>
      <w:r>
        <w:t>Open decisions still requiring an explicit lock</w:t>
      </w:r>
    </w:p>
    <w:p>
      <w:pPr>
        <w:pStyle w:val="ListBullet"/>
        <w:spacing w:after="60"/>
      </w:pPr>
      <w:r>
        <w:t>Whether token currency exists at launch and current pricing.</w:t>
      </w:r>
    </w:p>
    <w:p>
      <w:pPr>
        <w:pStyle w:val="ListBullet"/>
        <w:spacing w:after="60"/>
      </w:pPr>
      <w:r>
        <w:t>Subscription/season-pass structure, if any.</w:t>
      </w:r>
    </w:p>
    <w:p>
      <w:pPr>
        <w:pStyle w:val="ListBullet"/>
        <w:spacing w:after="60"/>
      </w:pPr>
      <w:r>
        <w:t>Fair basic/premium show-hosting allowance.</w:t>
      </w:r>
    </w:p>
    <w:p>
      <w:pPr>
        <w:pStyle w:val="ListBullet"/>
        <w:spacing w:after="60"/>
      </w:pPr>
      <w:r>
        <w:t>Stable-expansion monetization versus earnable progression.</w:t>
      </w:r>
    </w:p>
    <w:p>
      <w:pPr>
        <w:pStyle w:val="ListBullet"/>
        <w:spacing w:after="60"/>
      </w:pPr>
      <w:r>
        <w:t>Breed-pass definition and permanent genetic/economy effects.</w:t>
      </w:r>
    </w:p>
    <w:p>
      <w:pPr>
        <w:pStyle w:val="ListBullet"/>
        <w:spacing w:after="60"/>
      </w:pPr>
      <w:r>
        <w:t>Premium analytics boundaries.</w:t>
      </w:r>
    </w:p>
    <w:p>
      <w:pPr>
        <w:pStyle w:val="ListBullet"/>
        <w:spacing w:after="60"/>
      </w:pPr>
      <w:r>
        <w:t>Whether randomized monetization/rewarded ads are rejected outright.</w:t>
      </w:r>
    </w:p>
    <w:p>
      <w:pPr>
        <w:pStyle w:val="Heading1"/>
      </w:pPr>
      <w:r>
        <w:t>Recovery provenance &amp; precedence</w:t>
      </w:r>
    </w:p>
    <w:p>
      <w:r>
        <w:t>This file is a reconstruction of Equoria’s discussed design intent. It intentionally preserves conflicts and historical alternatives instead of silently normalizing them.</w:t>
      </w:r>
    </w:p>
    <w:p>
      <w:r>
        <w:t>Precedence used here: later explicit user decisions outrank older plans; direct user constraints outrank assistant proposals; mockup values are examples unless independently locked; reported implementation is not treated as canonical design if it conflicts with a later decision.</w:t>
      </w:r>
    </w:p>
    <w:p>
      <w:pPr>
        <w:pStyle w:val="ListBullet"/>
        <w:spacing w:after="60"/>
      </w:pPr>
      <w:r>
        <w:t>2025 UI/UX, monetization, platform and screen-planning conversations</w:t>
      </w:r>
    </w:p>
    <w:p>
      <w:pPr>
        <w:pStyle w:val="ListBullet"/>
        <w:spacing w:after="60"/>
      </w:pPr>
      <w:r>
        <w:t>2026 celestial browser redesign, stable redesign and Three.js discussion</w:t>
      </w:r>
    </w:p>
    <w:p>
      <w:pPr>
        <w:pStyle w:val="ListBullet"/>
        <w:spacing w:after="60"/>
      </w:pPr>
      <w:r>
        <w:t>Updated Equoria comprehensive inventory and uploaded UI/project-rule documents</w:t>
      </w:r>
    </w:p>
    <w:p>
      <w:pPr>
        <w:pStyle w:val="ListBullet"/>
        <w:spacing w:after="60"/>
      </w:pPr>
      <w:r>
        <w:t>May 2025 token/appearance-token/breed-pass monetization discussions</w:t>
      </w:r>
    </w:p>
    <w:p>
      <w:pPr>
        <w:pStyle w:val="Heading1"/>
      </w:pPr>
      <w:r>
        <w:t>Use of this document</w:t>
      </w:r>
    </w:p>
    <w:p>
      <w:r>
        <w:t>Treat LOCKED and CURRENT material as the governing design baseline unless Stacey explicitly revises it. Treat PLANNED material as intended scope that still needs implementation-level definition. Treat EXPLORATORY material as archived possibilities. Treat SUPERSEDED material as historical context only and do not reintroduce it accidentally.</w:t>
      </w:r>
    </w:p>
    <w:p>
      <w:r>
        <w:t>When implementation requires a decision that this document marks OPEN, create a discrete design decision record rather than allowing code, mockups, or an AI-generated rewrite to choose by implication.</w:t>
      </w:r>
    </w:p>
    <w:p>
      <w:r>
        <w:br w:type="page"/>
      </w:r>
    </w:p>
    <w:p>
      <w:pPr>
        <w:pStyle w:val="Heading1"/>
        <w:keepNext/>
        <w:keepLines/>
      </w:pPr>
      <w:r>
        <w:rPr>
          <w:b/>
        </w:rPr>
        <w:t>SECOND-DEPTH RECONSTRUCTION PASS</w:t>
      </w:r>
    </w:p>
    <w:p>
      <w:pPr>
        <w:pStyle w:val="Heading2"/>
        <w:keepNext/>
        <w:keepLines/>
      </w:pPr>
      <w:r>
        <w:t>Deep recovery: monetization catalog, genetic integrity, premium examples, and economic-risk review</w:t>
      </w:r>
    </w:p>
    <w:p>
      <w:pPr>
        <w:pStyle w:val="DeepNote"/>
      </w:pPr>
      <w:r>
        <w:t>Added 5 October 2026 • source-audited against the re-uploaded historical files</w:t>
      </w:r>
    </w:p>
    <w:tbl>
      <w:tblPr>
        <w:tblW w:type="auto" w:w="0"/>
        <w:jc w:val="center"/>
        <w:tblLook w:firstColumn="1" w:firstRow="1" w:lastColumn="0" w:lastRow="0" w:noHBand="0" w:noVBand="1" w:val="04A0"/>
      </w:tblPr>
      <w:tblGrid>
        <w:gridCol w:w="10166"/>
      </w:tblGrid>
      <w:tr>
        <w:tc>
          <w:tcPr>
            <w:tcW w:type="dxa" w:w="10166"/>
            <w:shd w:fill="F2EFE6"/>
            <w:vAlign w:val="center"/>
          </w:tcPr>
          <w:p>
            <w:pPr>
              <w:keepLines/>
            </w:pPr>
            <w:r>
              <w:rPr>
                <w:b/>
              </w:rPr>
              <w:t xml:space="preserve">Evidence discipline. </w:t>
            </w:r>
            <w:r>
              <w:t>Evidence labels used in this deep pass: SOURCE-EXPLICIT means the uploaded historical material states the requirement directly; RECOVERED-CANON means the first reconstruction pass already preserved a user-directed rule from the earlier chat history; DERIVED-CONTRACT restates supported requirements as an implementation obligation without adding new balance; HISTORICAL/MOCKUP records a contemplated implementation or presentation but does not promote it to canon; OPEN means the source record does not resolve the decision.</w:t>
            </w:r>
          </w:p>
        </w:tc>
      </w:tr>
    </w:tbl>
    <w:p/>
    <w:p>
      <w:pPr>
        <w:pStyle w:val="Heading2"/>
        <w:keepNext/>
        <w:keepLines/>
      </w:pPr>
      <w:r>
        <w:t>Original monetization categories</w:t>
      </w:r>
    </w:p>
    <w:p>
      <w:pPr>
        <w:pStyle w:val="ListBullet"/>
        <w:keepLines/>
      </w:pPr>
      <w:r>
        <w:rPr>
          <w:b/>
        </w:rPr>
        <w:t xml:space="preserve">[SOURCE-EXPLICIT] </w:t>
      </w:r>
      <w:r>
        <w:t>Original overview: free-to-play core loop with optional IAP for cosmetics, trait-analysis tools, premium riders and seasonal event access.</w:t>
      </w:r>
    </w:p>
    <w:p>
      <w:pPr>
        <w:pStyle w:val="ListBullet"/>
        <w:keepLines/>
      </w:pPr>
      <w:r>
        <w:rPr>
          <w:b/>
        </w:rPr>
        <w:t xml:space="preserve">[SOURCE-EXPLICIT] </w:t>
      </w:r>
      <w:r>
        <w:t>UI plans later named appearance tokens, breed passes, stable expansions and cosmetic previews.</w:t>
      </w:r>
    </w:p>
    <w:p>
      <w:pPr>
        <w:pStyle w:val="ListBullet"/>
        <w:keepLines/>
      </w:pPr>
      <w:r>
        <w:rPr>
          <w:b/>
        </w:rPr>
        <w:t xml:space="preserve">[SOURCE-EXPLICIT] </w:t>
      </w:r>
      <w:r>
        <w:t>Event rules proposed extra clues/alternate maps for premium players.</w:t>
      </w:r>
    </w:p>
    <w:p>
      <w:pPr>
        <w:pStyle w:val="ListBullet"/>
        <w:keepLines/>
      </w:pPr>
      <w:r>
        <w:rPr>
          <w:b/>
        </w:rPr>
        <w:t xml:space="preserve">[DERIVED-CONTRACT] </w:t>
      </w:r>
      <w:r>
        <w:t>These sources prove contemplated categories, not that every category remains acceptable after the later anti-pay-to-win direction.</w:t>
      </w:r>
    </w:p>
    <w:p>
      <w:pPr>
        <w:pStyle w:val="Heading2"/>
        <w:keepNext/>
        <w:keepLines/>
      </w:pPr>
      <w:r>
        <w:t>Genetics/economy integrity checks</w:t>
      </w:r>
    </w:p>
    <w:p>
      <w:pPr>
        <w:pStyle w:val="ListBullet"/>
        <w:keepLines/>
      </w:pPr>
      <w:r>
        <w:rPr>
          <w:b/>
        </w:rPr>
        <w:t xml:space="preserve">[RECOVERED-CANON] </w:t>
      </w:r>
      <w:r>
        <w:t>Appearance tokens may only select expressions genetically valid for that horse; they cannot manufacture alleles or impossible markings.</w:t>
      </w:r>
    </w:p>
    <w:p>
      <w:pPr>
        <w:pStyle w:val="ListBullet"/>
        <w:keepLines/>
      </w:pPr>
      <w:r>
        <w:rPr>
          <w:b/>
        </w:rPr>
        <w:t xml:space="preserve">[DERIVED-CONTRACT] </w:t>
      </w:r>
      <w:r>
        <w:t>Anything that creates a tradable/reproductive horse, allele, permanent stat ceiling or inherited advantage must be reviewed as a permanent economy/genetics intervention—not as a cosmetic purchase.</w:t>
      </w:r>
    </w:p>
    <w:p>
      <w:pPr>
        <w:pStyle w:val="ListBullet"/>
        <w:keepLines/>
      </w:pPr>
      <w:r>
        <w:rPr>
          <w:b/>
        </w:rPr>
        <w:t xml:space="preserve">[RECOVERED-CANON] </w:t>
      </w:r>
      <w:r>
        <w:t>Historical premium job powers, sex selection, inherited-stat boosts and exclusive power horses conflict with current anti-pay-to-win and remain superseded.</w:t>
      </w:r>
    </w:p>
    <w:p>
      <w:pPr>
        <w:pStyle w:val="Heading2"/>
        <w:keepNext/>
        <w:keepLines/>
      </w:pPr>
      <w:r>
        <w:t>Premium analysis and convenience</w:t>
      </w:r>
    </w:p>
    <w:p>
      <w:pPr>
        <w:pStyle w:val="ListBullet"/>
        <w:keepLines/>
      </w:pPr>
      <w:r>
        <w:rPr>
          <w:b/>
        </w:rPr>
        <w:t xml:space="preserve">[RECOVERED-CANON] </w:t>
      </w:r>
      <w:r>
        <w:t>Exact rider-compatibility breakdown and trait analysis were discussed as premium, while free players retain useful green/yellow/red or other adequate strategic information.</w:t>
      </w:r>
    </w:p>
    <w:p>
      <w:pPr>
        <w:pStyle w:val="ListBullet"/>
        <w:keepLines/>
      </w:pPr>
      <w:r>
        <w:rPr>
          <w:b/>
        </w:rPr>
        <w:t xml:space="preserve">[DERIVED-CONTRACT] </w:t>
      </w:r>
      <w:r>
        <w:t>The free experience must permit competent breeding/rider/competition decisions. Premium may improve explanation, history depth, saved searches, management convenience or presentation, not conceal the only usable answer.</w:t>
      </w:r>
    </w:p>
    <w:p>
      <w:pPr>
        <w:pStyle w:val="ListBullet"/>
        <w:keepLines/>
      </w:pPr>
      <w:r>
        <w:rPr>
          <w:b/>
        </w:rPr>
        <w:t xml:space="preserve">[HISTORICAL/MOCKUP] </w:t>
      </w:r>
      <w:r>
        <w:t>auth.mdc contains a premium-restricted breeding-route example. It is authentication demo code and must not be treated as product policy.</w:t>
      </w:r>
    </w:p>
    <w:p>
      <w:pPr>
        <w:pStyle w:val="Heading2"/>
        <w:keepNext/>
        <w:keepLines/>
      </w:pPr>
      <w:r>
        <w:t>Pricing/allowance status</w:t>
      </w:r>
    </w:p>
    <w:p>
      <w:pPr>
        <w:pStyle w:val="ListBullet"/>
        <w:keepLines/>
      </w:pPr>
      <w:r>
        <w:rPr>
          <w:b/>
        </w:rPr>
        <w:t xml:space="preserve">[RECOVERED-CANON] </w:t>
      </w:r>
      <w:r>
        <w:t>Historical token packs, token use examples, subscription tiers and 10-vs-100 user-created-show allowances are archived accepted/proposed values in the first pass.</w:t>
      </w:r>
    </w:p>
    <w:p>
      <w:pPr>
        <w:pStyle w:val="ListBullet"/>
        <w:keepLines/>
      </w:pPr>
      <w:r>
        <w:rPr>
          <w:b/>
        </w:rPr>
        <w:t xml:space="preserve">[DERIVED-CONTRACT] </w:t>
      </w:r>
      <w:r>
        <w:t>None should ship merely because they have exact numbers. Show-host allowance especially requires economy/fairness review because it can affect fees and market visibility.</w:t>
      </w:r>
    </w:p>
    <w:p>
      <w:pPr>
        <w:pStyle w:val="ListBullet"/>
        <w:keepLines/>
      </w:pPr>
      <w:r>
        <w:rPr>
          <w:b/>
        </w:rPr>
        <w:t xml:space="preserve">[OPEN] </w:t>
      </w:r>
      <w:r>
        <w:t>Launch premium currency, pricing, stable expansion, breed passes, season pass and ads/randomized purchase policy remain unresolved.</w:t>
      </w:r>
    </w:p>
    <w:p>
      <w:pPr>
        <w:pStyle w:val="Heading2"/>
        <w:keepNext/>
        <w:keepLines/>
      </w:pPr>
      <w:r>
        <w:t>Source trace for this deep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3D4D"/>
          </w:tcPr>
          <w:p>
            <w:r>
              <w:rPr>
                <w:b/>
                <w:color w:val="FFFFFF"/>
              </w:rPr>
              <w:t>Source</w:t>
            </w:r>
          </w:p>
        </w:tc>
        <w:tc>
          <w:tcPr>
            <w:tcW w:type="dxa" w:w="5083"/>
            <w:shd w:fill="2F3D4D"/>
          </w:tcPr>
          <w:p>
            <w:r>
              <w:rPr>
                <w:b/>
                <w:color w:val="FFFFFF"/>
              </w:rPr>
              <w:t>How it is used here</w:t>
            </w:r>
          </w:p>
        </w:tc>
      </w:tr>
      <w:tr>
        <w:tc>
          <w:tcPr>
            <w:tcW w:type="dxa" w:w="5083"/>
            <w:vAlign w:val="top"/>
          </w:tcPr>
          <w:p>
            <w:pPr>
              <w:keepLines/>
            </w:pPr>
            <w:r>
              <w:t>001_project_overview.mdc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005_event_systems.mdc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auth.mdc</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UI Design.docx</w:t>
            </w:r>
          </w:p>
        </w:tc>
        <w:tc>
          <w:tcPr>
            <w:tcW w:type="dxa" w:w="5083"/>
            <w:vAlign w:val="top"/>
          </w:tcPr>
          <w:p>
            <w:pPr>
              <w:keepLines/>
            </w:pPr>
            <w:r>
              <w:t>Evidence for requirements/history; exact authority depends on whether the source is a rule file, implementation plan, UI mockup, or reconstructed user-directed canon.</w:t>
            </w:r>
          </w:p>
        </w:tc>
      </w:tr>
      <w:tr>
        <w:tc>
          <w:tcPr>
            <w:tcW w:type="dxa" w:w="5083"/>
            <w:vAlign w:val="top"/>
          </w:tcPr>
          <w:p>
            <w:pPr>
              <w:keepLines/>
            </w:pPr>
            <w:r>
              <w:t>first-pass Volume 20</w:t>
            </w:r>
          </w:p>
        </w:tc>
        <w:tc>
          <w:tcPr>
            <w:tcW w:type="dxa" w:w="5083"/>
            <w:vAlign w:val="top"/>
          </w:tcPr>
          <w:p>
            <w:pPr>
              <w:keepLines/>
            </w:pPr>
            <w:r>
              <w:t>Evidence for requirements/history; exact authority depends on whether the source is a rule file, implementation plan, UI mockup, or reconstructed user-directed canon.</w:t>
            </w:r>
          </w:p>
        </w:tc>
      </w:tr>
    </w:tbl>
    <w:p>
      <w:pPr>
        <w:pStyle w:val="Heading2"/>
        <w:keepNext/>
        <w:keepLines/>
      </w:pPr>
      <w:r>
        <w:t>Deep-pass acceptance checks</w:t>
      </w:r>
    </w:p>
    <w:p>
      <w:pPr>
        <w:pStyle w:val="ListBullet"/>
        <w:keepLines/>
      </w:pPr>
      <w:r>
        <w:rPr>
          <w:b/>
        </w:rPr>
        <w:t xml:space="preserve">[DERIVED-CONTRACT] </w:t>
      </w:r>
      <w:r>
        <w:t>A future implementation can identify which values are locked versus open without guessing from a mockup.</w:t>
      </w:r>
    </w:p>
    <w:p>
      <w:pPr>
        <w:pStyle w:val="ListBullet"/>
        <w:keepLines/>
      </w:pPr>
      <w:r>
        <w:rPr>
          <w:b/>
        </w:rPr>
        <w:t xml:space="preserve">[DERIVED-CONTRACT] </w:t>
      </w:r>
      <w:r>
        <w:t>Any historical rule that conflicts with a later correction is visibly marked and cannot silently return through copied code/tests.</w:t>
      </w:r>
    </w:p>
    <w:p>
      <w:pPr>
        <w:pStyle w:val="ListBullet"/>
        <w:keepLines/>
      </w:pPr>
      <w:r>
        <w:rPr>
          <w:b/>
        </w:rPr>
        <w:t xml:space="preserve">[DERIVED-CONTRACT] </w:t>
      </w:r>
      <w:r>
        <w:t>The UI can be redesigned without deleting the underlying system responsibilities or authoritative records.</w:t>
      </w:r>
    </w:p>
    <w:p>
      <w:pPr>
        <w:pStyle w:val="ListBullet"/>
        <w:keepLines/>
      </w:pPr>
      <w:r>
        <w:rPr>
          <w:b/>
        </w:rPr>
        <w:t xml:space="preserve">[DERIVED-CONTRACT] </w:t>
      </w:r>
      <w:r>
        <w:t>Server/domain logic remains the source of eligibility, scoring, economy and permissions; clients render and request actions rather than inventing rules.</w:t>
      </w:r>
    </w:p>
    <w:p>
      <w:pPr>
        <w:pStyle w:val="ListBullet"/>
        <w:keepLines/>
      </w:pPr>
      <w:r>
        <w:rPr>
          <w:b/>
        </w:rPr>
        <w:t xml:space="preserve">[DERIVED-CONTRACT] </w:t>
      </w:r>
      <w:r>
        <w:t>If a required rule is unsupported by the recovered record, it remains OPEN and is routed to an explicit design decision instead of being fabricated.</w:t>
      </w:r>
    </w:p>
    <w:p>
      <w:r>
        <w:br w:type="page"/>
      </w:r>
    </w:p>
    <w:p>
      <w:pPr>
        <w:pStyle w:val="Heading1"/>
      </w:pPr>
      <w:r>
        <w:t>CANONICAL DECISION UPDATE — 6 OCTOBER 2026</w:t>
      </w:r>
    </w:p>
    <w:p>
      <w:pPr>
        <w:pStyle w:val="DeepNote"/>
      </w:pPr>
      <w:r>
        <w:t>Direct owner decisions from the 5–6 October 2026 design-lock session. These decisions outrank earlier mockups, examples and assistant-generated interpretations.</w:t>
      </w:r>
    </w:p>
    <w:p>
      <w:pPr>
        <w:pStyle w:val="Heading2"/>
      </w:pPr>
      <w:r>
        <w:t>Premium boundary and currency model</w:t>
      </w:r>
    </w:p>
    <w:p>
      <w:pPr>
        <w:pStyle w:val="Heading2"/>
      </w:pPr>
      <w:r>
        <w:t>Premium Tokens</w:t>
      </w:r>
    </w:p>
    <w:p>
      <w:pPr>
        <w:pStyle w:val="ListBullet"/>
      </w:pPr>
      <w:r>
        <w:t>[LOCKED] Premium Tokens are separate from Equoria Coins (EQ). Premium membership includes Premium Tokens, and Premium Tokens may also be purchased à la carte.</w:t>
      </w:r>
    </w:p>
    <w:p>
      <w:pPr>
        <w:pStyle w:val="ListBullet"/>
      </w:pPr>
      <w:r>
        <w:t>[OPEN] Exact membership token allowance/cadence, à-la-carte pack sizes/prices and launch catalog remain to be set.</w:t>
      </w:r>
    </w:p>
    <w:p>
      <w:pPr>
        <w:pStyle w:val="Heading2"/>
      </w:pPr>
      <w:r>
        <w:t>Functional premium scope</w:t>
      </w:r>
    </w:p>
    <w:p>
      <w:pPr>
        <w:pStyle w:val="ListBullet"/>
      </w:pPr>
      <w:r>
        <w:t>[CURRENT] Earlier and later premium concepts remain part of the design space rather than being discarded wholesale: breed/stable access concepts, profession/item systems, breeding conveniences/bonuses, sex-selection concepts, special/legacy horse concepts, analytics/QoL, cosmetics and appearance systems may all be designed where they obey the governing boundary.</w:t>
      </w:r>
    </w:p>
    <w:p>
      <w:pPr>
        <w:pStyle w:val="ListBullet"/>
      </w:pPr>
      <w:r>
        <w:t>[LOCKED] Premium players cannot buy objectively better horses, direct competition wins, permanent superior genetics or a direct score advantage simply for paying.</w:t>
      </w:r>
    </w:p>
    <w:p>
      <w:pPr>
        <w:pStyle w:val="ListBullet"/>
      </w:pPr>
      <w:r>
        <w:t>[DERIVED-CONTRACT] Functional premium features must be bounded so a free player can remain competitively viable and can obtain excellent horses through gameplay. If an old premium concept violates that rule in its historical form, redesign the implementation rather than silently deleting the concept or shipping the old power version.</w:t>
      </w:r>
    </w:p>
    <w:p>
      <w:pPr>
        <w:pStyle w:val="Heading2"/>
      </w:pPr>
      <w:r>
        <w:t>Achievement rewards remain separate</w:t>
      </w:r>
    </w:p>
    <w:p>
      <w:pPr>
        <w:pStyle w:val="ListBullet"/>
      </w:pPr>
      <w:r>
        <w:t>[CURRENT] Prestige Tokens/Prestige Shop are an achievement path, not a paid currency system. Basic players can earn special prestige rewards through qualifying performance.</w:t>
      </w:r>
    </w:p>
    <w:p>
      <w:pPr>
        <w:pStyle w:val="Heading2"/>
      </w:pPr>
      <w:r>
        <w:t>Weekly income</w:t>
      </w:r>
    </w:p>
    <w:p>
      <w:pPr>
        <w:pStyle w:val="ListBullet"/>
      </w:pPr>
      <w:r>
        <w:t>[LOCKED] Basic accounts receive 5,000 EQ weekly; Premium accounts receive 10,000 EQ weekly. This premium economic benefit is intentional and does not itself guarantee competitive outcomes.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Reconstructed Design Bible • Canonical Pass V6 •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