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0FB99E" w14:textId="77777777" w:rsidR="005B0A58" w:rsidRPr="00C73EE6" w:rsidRDefault="00000000">
      <w:pPr>
        <w:pStyle w:val="Heading1"/>
        <w:rPr>
          <w:rFonts w:cstheme="majorHAnsi"/>
          <w:color w:val="auto"/>
        </w:rPr>
      </w:pPr>
      <w:r w:rsidRPr="00C73EE6">
        <w:rPr>
          <w:rFonts w:cstheme="majorHAnsi"/>
          <w:color w:val="auto"/>
        </w:rPr>
        <w:t>Machine Learning Model 1: Time-Series Linear Regression for Gas Forecasting</w:t>
      </w:r>
    </w:p>
    <w:p w14:paraId="0573B718" w14:textId="77777777" w:rsidR="005B0A58" w:rsidRPr="00C73EE6" w:rsidRDefault="00000000">
      <w:pPr>
        <w:pStyle w:val="Heading2"/>
        <w:rPr>
          <w:rFonts w:cstheme="majorHAnsi"/>
          <w:color w:val="auto"/>
        </w:rPr>
      </w:pPr>
      <w:r w:rsidRPr="00C73EE6">
        <w:rPr>
          <w:rFonts w:cstheme="majorHAnsi"/>
          <w:color w:val="auto"/>
        </w:rPr>
        <w:t>1. Overview</w:t>
      </w:r>
    </w:p>
    <w:p w14:paraId="4343CF49" w14:textId="77777777" w:rsidR="005B0A58" w:rsidRPr="00C73EE6" w:rsidRDefault="00000000">
      <w:pPr>
        <w:rPr>
          <w:rFonts w:asciiTheme="majorHAnsi" w:hAnsiTheme="majorHAnsi" w:cstheme="majorHAnsi"/>
        </w:rPr>
      </w:pPr>
      <w:r w:rsidRPr="00C73EE6">
        <w:rPr>
          <w:rFonts w:asciiTheme="majorHAnsi" w:hAnsiTheme="majorHAnsi" w:cstheme="majorHAnsi"/>
        </w:rPr>
        <w:t>To satisfy the time-series prediction requirement of the final project, we implemented two Multiple Linear Regression models using scikit-learn’s LinearRegression class to forecast Carbon Monoxide (CO) and Carbon Dioxide (CO₂) concentrations one hour ahead. Because the dataset was aggregated to hourly intervals during preprocessing, a one-hour prediction horizon was selected to preserve temporal consistency while still providing meaningful early-warning capability.</w:t>
      </w:r>
    </w:p>
    <w:p w14:paraId="1B740CDF" w14:textId="77777777" w:rsidR="005B0A58" w:rsidRPr="00C73EE6" w:rsidRDefault="00000000">
      <w:pPr>
        <w:pStyle w:val="Heading2"/>
        <w:rPr>
          <w:rFonts w:cstheme="majorHAnsi"/>
          <w:color w:val="auto"/>
        </w:rPr>
      </w:pPr>
      <w:r w:rsidRPr="00C73EE6">
        <w:rPr>
          <w:rFonts w:cstheme="majorHAnsi"/>
          <w:color w:val="auto"/>
        </w:rPr>
        <w:t>2. Methodology</w:t>
      </w:r>
    </w:p>
    <w:p w14:paraId="4E1E8953" w14:textId="77777777" w:rsidR="005B0A58" w:rsidRPr="00C73EE6" w:rsidRDefault="00000000">
      <w:pPr>
        <w:rPr>
          <w:rFonts w:asciiTheme="majorHAnsi" w:hAnsiTheme="majorHAnsi" w:cstheme="majorHAnsi"/>
        </w:rPr>
      </w:pPr>
      <w:r w:rsidRPr="00C73EE6">
        <w:rPr>
          <w:rFonts w:asciiTheme="majorHAnsi" w:hAnsiTheme="majorHAnsi" w:cstheme="majorHAnsi"/>
        </w:rPr>
        <w:t>Feature engineering incorporated lagged features (t−1, t−2, t−3), rolling mean and standard deviation (3-hour window), environmental variables (temperature, humidity), cross-sensor relationships, and motion-derived occupancy indicators.</w:t>
      </w:r>
    </w:p>
    <w:p w14:paraId="0487057B" w14:textId="77777777" w:rsidR="005B0A58" w:rsidRPr="00C73EE6" w:rsidRDefault="00000000">
      <w:pPr>
        <w:rPr>
          <w:rFonts w:asciiTheme="majorHAnsi" w:hAnsiTheme="majorHAnsi" w:cstheme="majorHAnsi"/>
        </w:rPr>
      </w:pPr>
      <w:r w:rsidRPr="00C73EE6">
        <w:rPr>
          <w:rFonts w:asciiTheme="majorHAnsi" w:hAnsiTheme="majorHAnsi" w:cstheme="majorHAnsi"/>
        </w:rPr>
        <w:t>The dataset was split chronologically (80/20) to prevent data leakage. StandardScaler was fit on training data only. Model performance was evaluated using MAE, RMSE, and R².</w:t>
      </w:r>
    </w:p>
    <w:p w14:paraId="4AE9E85F" w14:textId="77777777" w:rsidR="005B0A58" w:rsidRPr="00C73EE6" w:rsidRDefault="00000000">
      <w:pPr>
        <w:pStyle w:val="Heading2"/>
        <w:rPr>
          <w:rFonts w:cstheme="majorHAnsi"/>
          <w:color w:val="auto"/>
        </w:rPr>
      </w:pPr>
      <w:r w:rsidRPr="00C73EE6">
        <w:rPr>
          <w:rFonts w:cstheme="majorHAnsi"/>
          <w:color w:val="auto"/>
        </w:rPr>
        <w:t>3. Results</w:t>
      </w:r>
    </w:p>
    <w:p w14:paraId="0A845031" w14:textId="77777777" w:rsidR="005B0A58" w:rsidRPr="00C73EE6" w:rsidRDefault="00000000">
      <w:pPr>
        <w:rPr>
          <w:rFonts w:asciiTheme="majorHAnsi" w:hAnsiTheme="majorHAnsi" w:cstheme="majorHAnsi"/>
        </w:rPr>
      </w:pPr>
      <w:r w:rsidRPr="00C73EE6">
        <w:rPr>
          <w:rFonts w:asciiTheme="majorHAnsi" w:hAnsiTheme="majorHAnsi" w:cstheme="majorHAnsi"/>
        </w:rPr>
        <w:t>CO Model Performance: MAE = 5.11, RMSE = 7.66, R² = 0.861</w:t>
      </w:r>
    </w:p>
    <w:p w14:paraId="11052CD0" w14:textId="77777777" w:rsidR="005B0A58" w:rsidRPr="00C73EE6" w:rsidRDefault="00000000">
      <w:pPr>
        <w:rPr>
          <w:rFonts w:asciiTheme="majorHAnsi" w:hAnsiTheme="majorHAnsi" w:cstheme="majorHAnsi"/>
        </w:rPr>
      </w:pPr>
      <w:r w:rsidRPr="00C73EE6">
        <w:rPr>
          <w:rFonts w:asciiTheme="majorHAnsi" w:hAnsiTheme="majorHAnsi" w:cstheme="majorHAnsi"/>
        </w:rPr>
        <w:t>CO₂ Model Performance: MAE = 5.78, RMSE = 8.02, R² = 0.909</w:t>
      </w:r>
    </w:p>
    <w:p w14:paraId="0E94E635" w14:textId="77777777" w:rsidR="005B0A58" w:rsidRPr="00C73EE6" w:rsidRDefault="00000000">
      <w:pPr>
        <w:rPr>
          <w:rFonts w:asciiTheme="majorHAnsi" w:hAnsiTheme="majorHAnsi" w:cstheme="majorHAnsi"/>
        </w:rPr>
      </w:pPr>
      <w:r w:rsidRPr="00C73EE6">
        <w:rPr>
          <w:rFonts w:asciiTheme="majorHAnsi" w:hAnsiTheme="majorHAnsi" w:cstheme="majorHAnsi"/>
        </w:rPr>
        <w:t>The models explain approximately 86% of CO variance and 91% of CO₂ variance during the test period, demonstrating strong predictive capability.</w:t>
      </w:r>
    </w:p>
    <w:p w14:paraId="01502D0A" w14:textId="77777777" w:rsidR="005B0A58" w:rsidRPr="00BD12C6" w:rsidRDefault="00000000">
      <w:pPr>
        <w:pStyle w:val="Heading3"/>
        <w:rPr>
          <w:rFonts w:cstheme="majorHAnsi"/>
          <w:color w:val="auto"/>
        </w:rPr>
      </w:pPr>
      <w:r w:rsidRPr="00BD12C6">
        <w:rPr>
          <w:rFonts w:cstheme="majorHAnsi"/>
          <w:color w:val="auto"/>
        </w:rPr>
        <w:t>Figure 1. CO Concentration – Actual vs Predicted (1 Hour Ahead)</w:t>
      </w:r>
    </w:p>
    <w:p w14:paraId="7BDC8B6E" w14:textId="77777777" w:rsidR="005B0A58" w:rsidRPr="00C73EE6" w:rsidRDefault="00000000">
      <w:pPr>
        <w:jc w:val="center"/>
        <w:rPr>
          <w:rFonts w:asciiTheme="majorHAnsi" w:hAnsiTheme="majorHAnsi" w:cstheme="majorHAnsi"/>
        </w:rPr>
      </w:pPr>
      <w:r w:rsidRPr="00C73EE6">
        <w:rPr>
          <w:rFonts w:asciiTheme="majorHAnsi" w:hAnsiTheme="majorHAnsi" w:cstheme="majorHAnsi"/>
          <w:noProof/>
        </w:rPr>
        <w:drawing>
          <wp:inline distT="0" distB="0" distL="0" distR="0" wp14:anchorId="21F6E127" wp14:editId="172857EF">
            <wp:extent cx="5943600" cy="2545184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ure1_CO_Prediction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451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DE0102" w14:textId="77777777" w:rsidR="005B0A58" w:rsidRPr="00C73EE6" w:rsidRDefault="00000000">
      <w:pPr>
        <w:pStyle w:val="Heading3"/>
        <w:rPr>
          <w:rFonts w:cstheme="majorHAnsi"/>
          <w:color w:val="auto"/>
        </w:rPr>
      </w:pPr>
      <w:r w:rsidRPr="00C73EE6">
        <w:rPr>
          <w:rFonts w:cstheme="majorHAnsi"/>
          <w:color w:val="auto"/>
        </w:rPr>
        <w:lastRenderedPageBreak/>
        <w:t>Figure 2. CO₂ Concentration – Actual vs Predicted (1 Hour Ahead)</w:t>
      </w:r>
    </w:p>
    <w:p w14:paraId="1DD98D75" w14:textId="77777777" w:rsidR="005B0A58" w:rsidRPr="00C73EE6" w:rsidRDefault="00000000">
      <w:pPr>
        <w:jc w:val="center"/>
        <w:rPr>
          <w:rFonts w:asciiTheme="majorHAnsi" w:hAnsiTheme="majorHAnsi" w:cstheme="majorHAnsi"/>
        </w:rPr>
      </w:pPr>
      <w:r w:rsidRPr="00C73EE6">
        <w:rPr>
          <w:rFonts w:asciiTheme="majorHAnsi" w:hAnsiTheme="majorHAnsi" w:cstheme="majorHAnsi"/>
          <w:noProof/>
        </w:rPr>
        <w:drawing>
          <wp:inline distT="0" distB="0" distL="0" distR="0" wp14:anchorId="01C2193C" wp14:editId="0E4EC920">
            <wp:extent cx="5943600" cy="2545184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ure2_CO2_Prediction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451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149247" w14:textId="77777777" w:rsidR="005B0A58" w:rsidRPr="00C73EE6" w:rsidRDefault="00000000">
      <w:pPr>
        <w:pStyle w:val="Heading3"/>
        <w:rPr>
          <w:rFonts w:cstheme="majorHAnsi"/>
          <w:color w:val="auto"/>
        </w:rPr>
      </w:pPr>
      <w:r w:rsidRPr="00C73EE6">
        <w:rPr>
          <w:rFonts w:cstheme="majorHAnsi"/>
          <w:color w:val="auto"/>
        </w:rPr>
        <w:t>Figure 3. Linear Regression Coefficient Magnitudes (CO Model)</w:t>
      </w:r>
    </w:p>
    <w:p w14:paraId="363C804A" w14:textId="77777777" w:rsidR="005B0A58" w:rsidRPr="00C73EE6" w:rsidRDefault="00000000">
      <w:pPr>
        <w:jc w:val="center"/>
        <w:rPr>
          <w:rFonts w:asciiTheme="majorHAnsi" w:hAnsiTheme="majorHAnsi" w:cstheme="majorHAnsi"/>
        </w:rPr>
      </w:pPr>
      <w:r w:rsidRPr="00C73EE6">
        <w:rPr>
          <w:rFonts w:asciiTheme="majorHAnsi" w:hAnsiTheme="majorHAnsi" w:cstheme="majorHAnsi"/>
          <w:noProof/>
        </w:rPr>
        <w:drawing>
          <wp:inline distT="0" distB="0" distL="0" distR="0" wp14:anchorId="7F867830" wp14:editId="64BDB6AE">
            <wp:extent cx="5943600" cy="2545184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ure3_CO_Coefficients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451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127032" w14:textId="77777777" w:rsidR="005B0A58" w:rsidRPr="00C73EE6" w:rsidRDefault="00000000">
      <w:pPr>
        <w:pStyle w:val="Heading2"/>
        <w:rPr>
          <w:rFonts w:cstheme="majorHAnsi"/>
          <w:color w:val="auto"/>
        </w:rPr>
      </w:pPr>
      <w:r w:rsidRPr="00C73EE6">
        <w:rPr>
          <w:rFonts w:cstheme="majorHAnsi"/>
          <w:color w:val="auto"/>
        </w:rPr>
        <w:t>4. Discussion</w:t>
      </w:r>
    </w:p>
    <w:p w14:paraId="40671BC9" w14:textId="77777777" w:rsidR="005B0A58" w:rsidRPr="00C73EE6" w:rsidRDefault="00000000">
      <w:pPr>
        <w:rPr>
          <w:rFonts w:asciiTheme="majorHAnsi" w:hAnsiTheme="majorHAnsi" w:cstheme="majorHAnsi"/>
        </w:rPr>
      </w:pPr>
      <w:r w:rsidRPr="00C73EE6">
        <w:rPr>
          <w:rFonts w:asciiTheme="majorHAnsi" w:hAnsiTheme="majorHAnsi" w:cstheme="majorHAnsi"/>
        </w:rPr>
        <w:t>Lag features and rolling statistics were the most influential predictors, confirming strong short-term autocorrelation in gas concentrations. The one-hour prediction horizon provides sufficient early-warning capability for proactive intervention in elder home monitoring systems.</w:t>
      </w:r>
    </w:p>
    <w:p w14:paraId="4EA1BDE4" w14:textId="77777777" w:rsidR="005B0A58" w:rsidRPr="00C73EE6" w:rsidRDefault="00000000">
      <w:pPr>
        <w:pStyle w:val="Heading2"/>
        <w:rPr>
          <w:rFonts w:cstheme="majorHAnsi"/>
          <w:color w:val="auto"/>
        </w:rPr>
      </w:pPr>
      <w:r w:rsidRPr="00C73EE6">
        <w:rPr>
          <w:rFonts w:cstheme="majorHAnsi"/>
          <w:color w:val="auto"/>
        </w:rPr>
        <w:t>5. Conclusion</w:t>
      </w:r>
    </w:p>
    <w:p w14:paraId="2DFEC5CC" w14:textId="77777777" w:rsidR="005B0A58" w:rsidRPr="00C73EE6" w:rsidRDefault="00000000">
      <w:pPr>
        <w:rPr>
          <w:rFonts w:asciiTheme="majorHAnsi" w:hAnsiTheme="majorHAnsi" w:cstheme="majorHAnsi"/>
        </w:rPr>
      </w:pPr>
      <w:r w:rsidRPr="00C73EE6">
        <w:rPr>
          <w:rFonts w:asciiTheme="majorHAnsi" w:hAnsiTheme="majorHAnsi" w:cstheme="majorHAnsi"/>
        </w:rPr>
        <w:t>The Linear Regression time-series models fulfill the project requirement for future prediction and demonstrate that traditional ML methods can achieve strong performance in IoT safety applications.</w:t>
      </w:r>
    </w:p>
    <w:sectPr w:rsidR="005B0A58" w:rsidRPr="00C73EE6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336374273">
    <w:abstractNumId w:val="8"/>
  </w:num>
  <w:num w:numId="2" w16cid:durableId="2094693463">
    <w:abstractNumId w:val="6"/>
  </w:num>
  <w:num w:numId="3" w16cid:durableId="4794556">
    <w:abstractNumId w:val="5"/>
  </w:num>
  <w:num w:numId="4" w16cid:durableId="1419250075">
    <w:abstractNumId w:val="4"/>
  </w:num>
  <w:num w:numId="5" w16cid:durableId="624890449">
    <w:abstractNumId w:val="7"/>
  </w:num>
  <w:num w:numId="6" w16cid:durableId="495729761">
    <w:abstractNumId w:val="3"/>
  </w:num>
  <w:num w:numId="7" w16cid:durableId="1092433833">
    <w:abstractNumId w:val="2"/>
  </w:num>
  <w:num w:numId="8" w16cid:durableId="770399964">
    <w:abstractNumId w:val="1"/>
  </w:num>
  <w:num w:numId="9" w16cid:durableId="178614969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B77FF"/>
    <w:rsid w:val="005B0A58"/>
    <w:rsid w:val="00AA1D8D"/>
    <w:rsid w:val="00B47730"/>
    <w:rsid w:val="00BD12C6"/>
    <w:rsid w:val="00C73EE6"/>
    <w:rsid w:val="00CB0664"/>
    <w:rsid w:val="00D437F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B8AB1A4"/>
  <w14:defaultImageDpi w14:val="300"/>
  <w15:docId w15:val="{4EA88DFD-7F78-4EAF-B9BE-DF787F791C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81</TotalTime>
  <Pages>2</Pages>
  <Words>292</Words>
  <Characters>1667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1956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AHMED ELDAHMY</cp:lastModifiedBy>
  <cp:revision>3</cp:revision>
  <dcterms:created xsi:type="dcterms:W3CDTF">2013-12-23T23:15:00Z</dcterms:created>
  <dcterms:modified xsi:type="dcterms:W3CDTF">2026-02-12T18:50:00Z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187d20bf-1f29-4aa6-b0a3-b1b88fb08a5e</vt:lpwstr>
  </property>
</Properties>
</file>