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11" w:rsidRPr="00E73AF8" w:rsidRDefault="00CF3543" w:rsidP="00832811">
      <w:pPr>
        <w:pStyle w:val="Titre1"/>
        <w:jc w:val="center"/>
        <w:rPr>
          <w:rFonts w:ascii="Calibri" w:hAnsi="Calibri" w:cs="Tahoma"/>
          <w:lang w:val="en-GB"/>
        </w:rPr>
      </w:pPr>
      <w:r>
        <w:rPr>
          <w:rFonts w:ascii="Calibri" w:hAnsi="Calibri" w:cs="Tahoma"/>
          <w:lang w:val="en-GB"/>
        </w:rPr>
        <w:t>V</w:t>
      </w:r>
      <w:r w:rsidR="00B12F3E">
        <w:rPr>
          <w:rFonts w:ascii="Calibri" w:hAnsi="Calibri" w:cs="Tahoma"/>
          <w:lang w:val="en-GB"/>
        </w:rPr>
        <w:t>alidation of the commissioning of NIKA2, for a</w:t>
      </w:r>
      <w:r>
        <w:rPr>
          <w:rFonts w:ascii="Calibri" w:hAnsi="Calibri" w:cs="Tahoma"/>
          <w:lang w:val="en-GB"/>
        </w:rPr>
        <w:t>n</w:t>
      </w:r>
      <w:r w:rsidR="00B12F3E">
        <w:rPr>
          <w:rFonts w:ascii="Calibri" w:hAnsi="Calibri" w:cs="Tahoma"/>
          <w:lang w:val="en-GB"/>
        </w:rPr>
        <w:t xml:space="preserve"> opening to the community</w:t>
      </w:r>
    </w:p>
    <w:p w:rsidR="0009377C" w:rsidRPr="007822E6" w:rsidRDefault="007822E6" w:rsidP="00832811">
      <w:pPr>
        <w:pStyle w:val="Titre1"/>
        <w:spacing w:before="0"/>
        <w:jc w:val="center"/>
        <w:rPr>
          <w:rFonts w:ascii="Calibri" w:hAnsi="Calibri" w:cs="Tahoma"/>
          <w:b w:val="0"/>
          <w:sz w:val="20"/>
          <w:szCs w:val="20"/>
          <w:lang w:val="en-GB"/>
        </w:rPr>
      </w:pPr>
      <w:r>
        <w:rPr>
          <w:rFonts w:ascii="Calibri" w:hAnsi="Calibri" w:cs="Tahoma"/>
          <w:b w:val="0"/>
          <w:sz w:val="20"/>
          <w:szCs w:val="20"/>
          <w:lang w:val="en-GB"/>
        </w:rPr>
        <w:t xml:space="preserve">Create </w:t>
      </w:r>
      <w:r w:rsidR="00B12F3E" w:rsidRPr="007822E6">
        <w:rPr>
          <w:rFonts w:ascii="Calibri" w:hAnsi="Calibri" w:cs="Tahoma"/>
          <w:b w:val="0"/>
          <w:sz w:val="20"/>
          <w:szCs w:val="20"/>
          <w:lang w:val="en-GB"/>
        </w:rPr>
        <w:t>February</w:t>
      </w:r>
      <w:r w:rsidR="002F6237" w:rsidRPr="007822E6">
        <w:rPr>
          <w:rFonts w:ascii="Calibri" w:hAnsi="Calibri" w:cs="Tahoma"/>
          <w:b w:val="0"/>
          <w:sz w:val="20"/>
          <w:szCs w:val="20"/>
          <w:lang w:val="en-GB"/>
        </w:rPr>
        <w:t xml:space="preserve"> </w:t>
      </w:r>
      <w:r w:rsidR="00B12F3E" w:rsidRPr="007822E6">
        <w:rPr>
          <w:rFonts w:ascii="Calibri" w:hAnsi="Calibri" w:cs="Tahoma"/>
          <w:b w:val="0"/>
          <w:sz w:val="20"/>
          <w:szCs w:val="20"/>
          <w:lang w:val="en-GB"/>
        </w:rPr>
        <w:t>3</w:t>
      </w:r>
      <w:r w:rsidRPr="007822E6">
        <w:rPr>
          <w:rFonts w:ascii="Calibri" w:hAnsi="Calibri" w:cs="Tahoma"/>
          <w:b w:val="0"/>
          <w:sz w:val="20"/>
          <w:szCs w:val="20"/>
          <w:vertAlign w:val="superscript"/>
          <w:lang w:val="en-GB"/>
        </w:rPr>
        <w:t>rd</w:t>
      </w:r>
      <w:r w:rsidR="00B12F3E" w:rsidRPr="007822E6">
        <w:rPr>
          <w:rFonts w:ascii="Calibri" w:hAnsi="Calibri" w:cs="Tahoma"/>
          <w:b w:val="0"/>
          <w:sz w:val="20"/>
          <w:szCs w:val="20"/>
          <w:lang w:val="en-GB"/>
        </w:rPr>
        <w:t>,</w:t>
      </w:r>
      <w:r w:rsidR="00B7597D" w:rsidRPr="007822E6">
        <w:rPr>
          <w:rFonts w:ascii="Calibri" w:hAnsi="Calibri" w:cs="Tahoma"/>
          <w:b w:val="0"/>
          <w:sz w:val="20"/>
          <w:szCs w:val="20"/>
          <w:lang w:val="en-GB"/>
        </w:rPr>
        <w:t xml:space="preserve"> 2017; Filled May </w:t>
      </w:r>
      <w:r w:rsidR="0062740A" w:rsidRPr="007822E6">
        <w:rPr>
          <w:rFonts w:ascii="Calibri" w:hAnsi="Calibri" w:cs="Tahoma"/>
          <w:b w:val="0"/>
          <w:sz w:val="20"/>
          <w:szCs w:val="20"/>
          <w:lang w:val="en-GB"/>
        </w:rPr>
        <w:t>30</w:t>
      </w:r>
      <w:r w:rsidRPr="007822E6">
        <w:rPr>
          <w:rFonts w:ascii="Calibri" w:hAnsi="Calibri" w:cs="Tahoma"/>
          <w:b w:val="0"/>
          <w:sz w:val="20"/>
          <w:szCs w:val="20"/>
          <w:vertAlign w:val="superscript"/>
          <w:lang w:val="en-GB"/>
        </w:rPr>
        <w:t>th</w:t>
      </w:r>
      <w:r>
        <w:rPr>
          <w:rFonts w:ascii="Calibri" w:hAnsi="Calibri" w:cs="Tahoma"/>
          <w:b w:val="0"/>
          <w:sz w:val="20"/>
          <w:szCs w:val="20"/>
          <w:lang w:val="en-GB"/>
        </w:rPr>
        <w:t xml:space="preserve">; Updated July </w:t>
      </w:r>
      <w:r w:rsidR="00596573">
        <w:rPr>
          <w:rFonts w:ascii="Calibri" w:hAnsi="Calibri" w:cs="Tahoma"/>
          <w:b w:val="0"/>
          <w:sz w:val="20"/>
          <w:szCs w:val="20"/>
          <w:lang w:val="en-GB"/>
        </w:rPr>
        <w:t>17</w:t>
      </w:r>
      <w:r w:rsidRPr="007822E6">
        <w:rPr>
          <w:rFonts w:ascii="Calibri" w:hAnsi="Calibri" w:cs="Tahoma"/>
          <w:b w:val="0"/>
          <w:sz w:val="20"/>
          <w:szCs w:val="20"/>
          <w:vertAlign w:val="superscript"/>
          <w:lang w:val="en-GB"/>
        </w:rPr>
        <w:t>th</w:t>
      </w:r>
      <w:r>
        <w:rPr>
          <w:rFonts w:ascii="Calibri" w:hAnsi="Calibri" w:cs="Tahoma"/>
          <w:b w:val="0"/>
          <w:sz w:val="20"/>
          <w:szCs w:val="20"/>
          <w:lang w:val="en-GB"/>
        </w:rPr>
        <w:t xml:space="preserve"> 2017</w:t>
      </w:r>
      <w:r w:rsidR="00832811" w:rsidRPr="007822E6">
        <w:rPr>
          <w:rFonts w:ascii="Calibri" w:hAnsi="Calibri" w:cs="Tahoma"/>
          <w:b w:val="0"/>
          <w:sz w:val="20"/>
          <w:szCs w:val="20"/>
          <w:lang w:val="en-GB"/>
        </w:rPr>
        <w:t xml:space="preserve"> </w:t>
      </w:r>
    </w:p>
    <w:p w:rsidR="00E960CB" w:rsidRPr="00611DAA" w:rsidRDefault="00E960CB" w:rsidP="00611DAA">
      <w:pPr>
        <w:jc w:val="center"/>
        <w:rPr>
          <w:rFonts w:ascii="Calibri" w:eastAsia="Arial Unicode MS" w:hAnsi="Calibri" w:cs="Tahoma"/>
          <w:sz w:val="18"/>
          <w:lang w:val="en-GB"/>
        </w:rPr>
      </w:pPr>
      <w:r w:rsidRPr="00E73AF8">
        <w:rPr>
          <w:rFonts w:ascii="Calibri" w:eastAsia="Arial Unicode MS" w:hAnsi="Calibri" w:cs="Tahoma"/>
          <w:sz w:val="18"/>
          <w:lang w:val="en-GB"/>
        </w:rPr>
        <w:t xml:space="preserve">S. </w:t>
      </w:r>
      <w:proofErr w:type="spellStart"/>
      <w:r w:rsidRPr="00E73AF8">
        <w:rPr>
          <w:rFonts w:ascii="Calibri" w:eastAsia="Arial Unicode MS" w:hAnsi="Calibri" w:cs="Tahoma"/>
          <w:sz w:val="18"/>
          <w:lang w:val="en-GB"/>
        </w:rPr>
        <w:t>Leclercq</w:t>
      </w:r>
      <w:proofErr w:type="spellEnd"/>
      <w:r w:rsidR="00B7597D">
        <w:rPr>
          <w:rFonts w:ascii="Calibri" w:eastAsia="Arial Unicode MS" w:hAnsi="Calibri" w:cs="Tahoma"/>
          <w:sz w:val="18"/>
          <w:lang w:val="en-GB"/>
        </w:rPr>
        <w:t>, C. Romero</w:t>
      </w:r>
    </w:p>
    <w:p w:rsidR="00DA562A" w:rsidRPr="00E73AF8" w:rsidRDefault="00B12F3E" w:rsidP="00DA562A">
      <w:pPr>
        <w:pStyle w:val="Titre3"/>
        <w:rPr>
          <w:rFonts w:ascii="Calibri" w:hAnsi="Calibri" w:cs="Tahoma"/>
          <w:sz w:val="28"/>
          <w:lang w:val="en-GB"/>
        </w:rPr>
      </w:pPr>
      <w:r>
        <w:rPr>
          <w:rFonts w:ascii="Calibri" w:hAnsi="Calibri" w:cs="Tahoma"/>
          <w:sz w:val="28"/>
          <w:lang w:val="en-GB"/>
        </w:rPr>
        <w:t>Introduction</w:t>
      </w:r>
    </w:p>
    <w:p w:rsidR="00DA562A" w:rsidRDefault="00DA562A" w:rsidP="00DA562A"/>
    <w:p w:rsidR="00B12F3E" w:rsidRDefault="00B12F3E" w:rsidP="00B12F3E">
      <w:pPr>
        <w:rPr>
          <w:sz w:val="22"/>
        </w:rPr>
      </w:pPr>
      <w:r>
        <w:rPr>
          <w:sz w:val="22"/>
        </w:rPr>
        <w:t>The goal of th</w:t>
      </w:r>
      <w:r w:rsidR="00360B3B">
        <w:rPr>
          <w:sz w:val="22"/>
        </w:rPr>
        <w:t>is</w:t>
      </w:r>
      <w:r>
        <w:rPr>
          <w:sz w:val="22"/>
        </w:rPr>
        <w:t xml:space="preserve"> document is to gather </w:t>
      </w:r>
      <w:r w:rsidR="004C6314">
        <w:rPr>
          <w:sz w:val="22"/>
        </w:rPr>
        <w:t xml:space="preserve">in </w:t>
      </w:r>
      <w:r w:rsidR="00C46B4B">
        <w:rPr>
          <w:sz w:val="22"/>
        </w:rPr>
        <w:t>a short</w:t>
      </w:r>
      <w:r w:rsidR="00CF3543">
        <w:rPr>
          <w:sz w:val="22"/>
        </w:rPr>
        <w:t xml:space="preserve"> form t</w:t>
      </w:r>
      <w:r w:rsidR="004C6314">
        <w:rPr>
          <w:sz w:val="22"/>
        </w:rPr>
        <w:t>he essential parameters characterizing the instrument performance and viability, and the criteria necessary for an opening to the community.</w:t>
      </w:r>
    </w:p>
    <w:p w:rsidR="00C07CA3" w:rsidRDefault="004C6314" w:rsidP="00B12F3E">
      <w:pPr>
        <w:rPr>
          <w:sz w:val="22"/>
        </w:rPr>
      </w:pPr>
      <w:r>
        <w:rPr>
          <w:sz w:val="22"/>
        </w:rPr>
        <w:t xml:space="preserve">The validation of the criteria doesn’t mean the end of the </w:t>
      </w:r>
      <w:r w:rsidR="007A335D">
        <w:rPr>
          <w:sz w:val="22"/>
        </w:rPr>
        <w:t>instrumental work</w:t>
      </w:r>
      <w:r w:rsidR="00290888">
        <w:rPr>
          <w:sz w:val="22"/>
        </w:rPr>
        <w:t>. In particular for all parameters identified as not optimal and possible to improve the work will continue in the vi</w:t>
      </w:r>
      <w:r w:rsidR="00C07CA3">
        <w:rPr>
          <w:sz w:val="22"/>
        </w:rPr>
        <w:t xml:space="preserve">ew of possible future upgrades. </w:t>
      </w:r>
      <w:r w:rsidR="00CF3543">
        <w:rPr>
          <w:sz w:val="22"/>
        </w:rPr>
        <w:t xml:space="preserve">That’s why we call the current </w:t>
      </w:r>
      <w:r w:rsidR="00C07CA3">
        <w:rPr>
          <w:sz w:val="22"/>
        </w:rPr>
        <w:t xml:space="preserve">commissioning “phase 1”.  </w:t>
      </w:r>
    </w:p>
    <w:p w:rsidR="00DA562A" w:rsidRDefault="00C07CA3" w:rsidP="00DA562A">
      <w:pPr>
        <w:rPr>
          <w:sz w:val="22"/>
        </w:rPr>
      </w:pPr>
      <w:r>
        <w:rPr>
          <w:sz w:val="22"/>
        </w:rPr>
        <w:t>The commissioning for the future up</w:t>
      </w:r>
      <w:r w:rsidR="00CF3543">
        <w:rPr>
          <w:sz w:val="22"/>
        </w:rPr>
        <w:t>grades will be called “phase 2”;</w:t>
      </w:r>
      <w:r>
        <w:rPr>
          <w:sz w:val="22"/>
        </w:rPr>
        <w:t xml:space="preserve"> it will </w:t>
      </w:r>
      <w:r w:rsidR="00CF3543">
        <w:rPr>
          <w:sz w:val="22"/>
        </w:rPr>
        <w:t xml:space="preserve">consist of </w:t>
      </w:r>
      <w:r>
        <w:rPr>
          <w:sz w:val="22"/>
        </w:rPr>
        <w:t xml:space="preserve">test runs </w:t>
      </w:r>
      <w:r w:rsidR="00CF3543">
        <w:rPr>
          <w:sz w:val="22"/>
        </w:rPr>
        <w:t xml:space="preserve">which will alternate </w:t>
      </w:r>
      <w:r>
        <w:rPr>
          <w:sz w:val="22"/>
        </w:rPr>
        <w:t>with science runs.</w:t>
      </w:r>
    </w:p>
    <w:p w:rsidR="00C07CA3" w:rsidRPr="00DA562A" w:rsidRDefault="00C07CA3" w:rsidP="00DA562A">
      <w:pPr>
        <w:rPr>
          <w:sz w:val="22"/>
        </w:rPr>
      </w:pPr>
    </w:p>
    <w:p w:rsidR="00E960CB" w:rsidRPr="00E73AF8" w:rsidRDefault="007A335D">
      <w:pPr>
        <w:pStyle w:val="Titre3"/>
        <w:rPr>
          <w:rFonts w:ascii="Calibri" w:hAnsi="Calibri" w:cs="Tahoma"/>
          <w:sz w:val="28"/>
          <w:lang w:val="en-GB"/>
        </w:rPr>
      </w:pPr>
      <w:r>
        <w:rPr>
          <w:rFonts w:ascii="Calibri" w:hAnsi="Calibri" w:cs="Tahoma"/>
          <w:sz w:val="28"/>
          <w:lang w:val="en-GB"/>
        </w:rPr>
        <w:t>Tables of</w:t>
      </w:r>
      <w:r w:rsidR="00C07CA3">
        <w:rPr>
          <w:rFonts w:ascii="Calibri" w:hAnsi="Calibri" w:cs="Tahoma"/>
          <w:sz w:val="28"/>
          <w:lang w:val="en-GB"/>
        </w:rPr>
        <w:t xml:space="preserve"> criteria</w:t>
      </w:r>
      <w:r w:rsidR="00AE49E6">
        <w:rPr>
          <w:rFonts w:ascii="Calibri" w:hAnsi="Calibri" w:cs="Tahoma"/>
          <w:sz w:val="28"/>
          <w:lang w:val="en-GB"/>
        </w:rPr>
        <w:t xml:space="preserve"> </w:t>
      </w:r>
      <w:r>
        <w:rPr>
          <w:rFonts w:ascii="Calibri" w:hAnsi="Calibri" w:cs="Tahoma"/>
          <w:sz w:val="28"/>
          <w:lang w:val="en-GB"/>
        </w:rPr>
        <w:t>for the commissioning</w:t>
      </w:r>
    </w:p>
    <w:p w:rsidR="0031329B" w:rsidRDefault="00AE49E6" w:rsidP="00611614">
      <w:pPr>
        <w:rPr>
          <w:rFonts w:ascii="Calibri" w:eastAsia="Arial Unicode MS" w:hAnsi="Calibri" w:cs="Tahoma"/>
          <w:sz w:val="20"/>
          <w:lang w:val="en-GB"/>
        </w:rPr>
      </w:pPr>
      <w:r>
        <w:rPr>
          <w:rFonts w:ascii="Calibri" w:eastAsia="Arial Unicode MS" w:hAnsi="Calibri" w:cs="Tahoma"/>
          <w:sz w:val="20"/>
          <w:lang w:val="en-GB"/>
        </w:rPr>
        <w:t>As a framework of the NIKA2 collaboration, the MoU contains a list of expectations for the instrument characteristics and performance; this list is obviously the base for the commissioning criteria.</w:t>
      </w:r>
    </w:p>
    <w:p w:rsidR="00611DAA" w:rsidRPr="00360B3B" w:rsidRDefault="00611DAA" w:rsidP="00611DAA">
      <w:pPr>
        <w:rPr>
          <w:rFonts w:ascii="Calibri" w:eastAsia="Arial Unicode MS" w:hAnsi="Calibri" w:cs="Tahoma"/>
          <w:b/>
          <w:sz w:val="20"/>
          <w:u w:val="single"/>
          <w:lang w:val="en-GB"/>
        </w:rPr>
      </w:pPr>
      <w:r w:rsidRPr="00360B3B">
        <w:rPr>
          <w:rFonts w:ascii="Calibri" w:eastAsia="Arial Unicode MS" w:hAnsi="Calibri" w:cs="Tahoma"/>
          <w:b/>
          <w:sz w:val="20"/>
          <w:u w:val="single"/>
          <w:lang w:val="en-GB"/>
        </w:rPr>
        <w:t>It is mandatory that each measure reported in the tables is accompanied by a reference document describing the test scans used for the determination of the value and enough detail</w:t>
      </w:r>
      <w:r>
        <w:rPr>
          <w:rFonts w:ascii="Calibri" w:eastAsia="Arial Unicode MS" w:hAnsi="Calibri" w:cs="Tahoma"/>
          <w:b/>
          <w:sz w:val="20"/>
          <w:u w:val="single"/>
          <w:lang w:val="en-GB"/>
        </w:rPr>
        <w:t>s on the processing allowing an</w:t>
      </w:r>
      <w:r w:rsidRPr="00360B3B">
        <w:rPr>
          <w:rFonts w:ascii="Calibri" w:eastAsia="Arial Unicode MS" w:hAnsi="Calibri" w:cs="Tahoma"/>
          <w:b/>
          <w:sz w:val="20"/>
          <w:u w:val="single"/>
          <w:lang w:val="en-GB"/>
        </w:rPr>
        <w:t xml:space="preserve"> independent verification using the same data.</w:t>
      </w:r>
    </w:p>
    <w:p w:rsidR="0037728C" w:rsidRDefault="0037728C" w:rsidP="00611614">
      <w:pPr>
        <w:rPr>
          <w:rFonts w:ascii="Calibri" w:eastAsia="Arial Unicode MS" w:hAnsi="Calibri" w:cs="Tahoma"/>
          <w:sz w:val="20"/>
          <w:lang w:val="en-GB"/>
        </w:rPr>
      </w:pPr>
      <w:r w:rsidRPr="0037728C">
        <w:rPr>
          <w:rFonts w:ascii="Calibri" w:eastAsia="Arial Unicode MS" w:hAnsi="Calibri" w:cs="Tahoma"/>
          <w:color w:val="FF0000"/>
          <w:sz w:val="20"/>
          <w:lang w:val="en-GB"/>
        </w:rPr>
        <w:t>In red the measured parameters which values have to meet or be better than the specifications</w:t>
      </w:r>
      <w:r w:rsidR="00CF3543">
        <w:rPr>
          <w:rFonts w:ascii="Calibri" w:eastAsia="Arial Unicode MS" w:hAnsi="Calibri" w:cs="Tahoma"/>
          <w:color w:val="FF0000"/>
          <w:sz w:val="20"/>
          <w:lang w:val="en-GB"/>
        </w:rPr>
        <w:t xml:space="preserve"> to validate the commissioning</w:t>
      </w:r>
      <w:r w:rsidR="00204DCF">
        <w:rPr>
          <w:rFonts w:ascii="Calibri" w:eastAsia="Arial Unicode MS" w:hAnsi="Calibri" w:cs="Tahoma"/>
          <w:color w:val="FF0000"/>
          <w:sz w:val="20"/>
          <w:lang w:val="en-GB"/>
        </w:rPr>
        <w:t xml:space="preserve">, </w:t>
      </w:r>
      <w:r w:rsidRPr="0037728C">
        <w:rPr>
          <w:rFonts w:ascii="Calibri" w:eastAsia="Arial Unicode MS" w:hAnsi="Calibri" w:cs="Tahoma"/>
          <w:color w:val="00B0F0"/>
          <w:sz w:val="20"/>
          <w:lang w:val="en-GB"/>
        </w:rPr>
        <w:t>in blue the parameters which values may be lower than spec</w:t>
      </w:r>
      <w:r w:rsidR="00360B3B">
        <w:rPr>
          <w:rFonts w:ascii="Calibri" w:eastAsia="Arial Unicode MS" w:hAnsi="Calibri" w:cs="Tahoma"/>
          <w:color w:val="00B0F0"/>
          <w:sz w:val="20"/>
          <w:lang w:val="en-GB"/>
        </w:rPr>
        <w:t>ifications if accompanied by an</w:t>
      </w:r>
      <w:r w:rsidRPr="0037728C">
        <w:rPr>
          <w:rFonts w:ascii="Calibri" w:eastAsia="Arial Unicode MS" w:hAnsi="Calibri" w:cs="Tahoma"/>
          <w:color w:val="00B0F0"/>
          <w:sz w:val="20"/>
          <w:lang w:val="en-GB"/>
        </w:rPr>
        <w:t xml:space="preserve"> argumentation</w:t>
      </w:r>
      <w:r w:rsidR="0092646B">
        <w:rPr>
          <w:rFonts w:ascii="Calibri" w:eastAsia="Arial Unicode MS" w:hAnsi="Calibri" w:cs="Tahoma"/>
          <w:color w:val="00B0F0"/>
          <w:sz w:val="20"/>
          <w:lang w:val="en-GB"/>
        </w:rPr>
        <w:t xml:space="preserve"> agreed between the NIKA2 consortium and IRAM</w:t>
      </w:r>
      <w:r w:rsidR="00204DCF">
        <w:rPr>
          <w:rFonts w:ascii="Calibri" w:eastAsia="Arial Unicode MS" w:hAnsi="Calibri" w:cs="Tahoma"/>
          <w:sz w:val="20"/>
          <w:lang w:val="en-GB"/>
        </w:rPr>
        <w:t xml:space="preserve">, </w:t>
      </w:r>
      <w:r w:rsidR="00204DCF" w:rsidRPr="00204DCF">
        <w:rPr>
          <w:rFonts w:ascii="Calibri" w:eastAsia="Arial Unicode MS" w:hAnsi="Calibri" w:cs="Tahoma"/>
          <w:b/>
          <w:color w:val="00B050"/>
          <w:sz w:val="20"/>
          <w:lang w:val="en-GB"/>
        </w:rPr>
        <w:t xml:space="preserve">and </w:t>
      </w:r>
      <w:r w:rsidR="00204DCF">
        <w:rPr>
          <w:rFonts w:ascii="Calibri" w:eastAsia="Arial Unicode MS" w:hAnsi="Calibri" w:cs="Tahoma"/>
          <w:b/>
          <w:color w:val="00B050"/>
          <w:sz w:val="20"/>
          <w:lang w:val="en-GB"/>
        </w:rPr>
        <w:t xml:space="preserve">in bold green </w:t>
      </w:r>
      <w:r w:rsidR="00204DCF" w:rsidRPr="00204DCF">
        <w:rPr>
          <w:rFonts w:ascii="Calibri" w:eastAsia="Arial Unicode MS" w:hAnsi="Calibri" w:cs="Tahoma"/>
          <w:b/>
          <w:color w:val="00B050"/>
          <w:sz w:val="20"/>
          <w:lang w:val="en-GB"/>
        </w:rPr>
        <w:t xml:space="preserve">between brackets </w:t>
      </w:r>
      <w:r w:rsidR="00204DCF">
        <w:rPr>
          <w:rFonts w:ascii="Calibri" w:eastAsia="Arial Unicode MS" w:hAnsi="Calibri" w:cs="Tahoma"/>
          <w:b/>
          <w:color w:val="00B050"/>
          <w:sz w:val="20"/>
          <w:lang w:val="en-GB"/>
        </w:rPr>
        <w:t xml:space="preserve">the </w:t>
      </w:r>
      <w:r w:rsidR="00204DCF" w:rsidRPr="00204DCF">
        <w:rPr>
          <w:rFonts w:ascii="Calibri" w:eastAsia="Arial Unicode MS" w:hAnsi="Calibri" w:cs="Tahoma"/>
          <w:b/>
          <w:color w:val="00B050"/>
          <w:sz w:val="20"/>
          <w:lang w:val="en-GB"/>
        </w:rPr>
        <w:t>related page</w:t>
      </w:r>
      <w:r w:rsidR="00204DCF">
        <w:rPr>
          <w:rFonts w:ascii="Calibri" w:eastAsia="Arial Unicode MS" w:hAnsi="Calibri" w:cs="Tahoma"/>
          <w:b/>
          <w:color w:val="00B050"/>
          <w:sz w:val="20"/>
          <w:lang w:val="en-GB"/>
        </w:rPr>
        <w:t>s</w:t>
      </w:r>
      <w:r w:rsidR="00204DCF" w:rsidRPr="00204DCF">
        <w:rPr>
          <w:rFonts w:ascii="Calibri" w:eastAsia="Arial Unicode MS" w:hAnsi="Calibri" w:cs="Tahoma"/>
          <w:b/>
          <w:color w:val="00B050"/>
          <w:sz w:val="20"/>
          <w:lang w:val="en-GB"/>
        </w:rPr>
        <w:t xml:space="preserve"> in the reference document nika2_commissioining_v01.pdf</w:t>
      </w:r>
      <w:r w:rsidR="00014870">
        <w:rPr>
          <w:rFonts w:ascii="Calibri" w:eastAsia="Arial Unicode MS" w:hAnsi="Calibri" w:cs="Tahoma"/>
          <w:b/>
          <w:color w:val="00B050"/>
          <w:sz w:val="20"/>
          <w:lang w:val="en-GB"/>
        </w:rPr>
        <w:t xml:space="preserve"> (version of June 27, 2017)</w:t>
      </w:r>
      <w:r w:rsidR="00204DCF">
        <w:rPr>
          <w:rFonts w:ascii="Calibri" w:eastAsia="Arial Unicode MS" w:hAnsi="Calibri" w:cs="Tahoma"/>
          <w:sz w:val="20"/>
          <w:lang w:val="en-GB"/>
        </w:rPr>
        <w:t>.</w:t>
      </w:r>
    </w:p>
    <w:p w:rsidR="009E2104" w:rsidRDefault="009E2104" w:rsidP="009E2104">
      <w:pPr>
        <w:pStyle w:val="Titre2"/>
        <w:rPr>
          <w:rFonts w:ascii="Calibri" w:hAnsi="Calibri" w:cs="Tahoma"/>
          <w:sz w:val="20"/>
          <w:u w:val="none"/>
          <w:lang w:val="en-GB"/>
        </w:rPr>
      </w:pPr>
    </w:p>
    <w:p w:rsidR="009E2104" w:rsidRPr="009E2104" w:rsidRDefault="009E2104" w:rsidP="009E2104">
      <w:pPr>
        <w:pStyle w:val="Titre2"/>
        <w:rPr>
          <w:lang w:val="en-GB"/>
        </w:rPr>
      </w:pPr>
      <w:r>
        <w:rPr>
          <w:lang w:val="en-GB"/>
        </w:rPr>
        <w:t>Main table</w:t>
      </w:r>
    </w:p>
    <w:p w:rsidR="00AE49E6" w:rsidRDefault="00AE49E6" w:rsidP="00611614">
      <w:pPr>
        <w:rPr>
          <w:rFonts w:ascii="Calibri" w:eastAsia="Arial Unicode MS" w:hAnsi="Calibri" w:cs="Tahoma"/>
          <w:sz w:val="20"/>
          <w:lang w:val="en-GB"/>
        </w:rPr>
      </w:pPr>
    </w:p>
    <w:tbl>
      <w:tblPr>
        <w:tblW w:w="10203" w:type="dxa"/>
        <w:jc w:val="center"/>
        <w:tblInd w:w="432" w:type="dxa"/>
        <w:tblBorders>
          <w:top w:val="single" w:sz="18" w:space="0" w:color="000001"/>
          <w:left w:val="single" w:sz="18" w:space="0" w:color="000001"/>
          <w:bottom w:val="single" w:sz="6" w:space="0" w:color="000001"/>
          <w:right w:val="single" w:sz="6" w:space="0" w:color="000001"/>
          <w:insideH w:val="single" w:sz="6" w:space="0" w:color="000001"/>
          <w:insideV w:val="single" w:sz="6" w:space="0" w:color="000001"/>
        </w:tblBorders>
        <w:tblCellMar>
          <w:left w:w="82" w:type="dxa"/>
        </w:tblCellMar>
        <w:tblLook w:val="04A0" w:firstRow="1" w:lastRow="0" w:firstColumn="1" w:lastColumn="0" w:noHBand="0" w:noVBand="1"/>
      </w:tblPr>
      <w:tblGrid>
        <w:gridCol w:w="5211"/>
        <w:gridCol w:w="1248"/>
        <w:gridCol w:w="1248"/>
        <w:gridCol w:w="1248"/>
        <w:gridCol w:w="1248"/>
      </w:tblGrid>
      <w:tr w:rsidR="001B0115" w:rsidTr="00204DCF">
        <w:trPr>
          <w:jc w:val="center"/>
        </w:trPr>
        <w:tc>
          <w:tcPr>
            <w:tcW w:w="5211" w:type="dxa"/>
            <w:tcBorders>
              <w:top w:val="single" w:sz="18"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867C1A">
            <w:pPr>
              <w:spacing w:before="120" w:after="120"/>
            </w:pPr>
            <w:r>
              <w:rPr>
                <w:b/>
                <w:bCs/>
                <w:color w:val="000000"/>
                <w:sz w:val="20"/>
              </w:rPr>
              <w:t>Wavelength (central) [mm]</w:t>
            </w:r>
          </w:p>
        </w:tc>
        <w:tc>
          <w:tcPr>
            <w:tcW w:w="1248" w:type="dxa"/>
            <w:tcBorders>
              <w:top w:val="single" w:sz="18"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b/>
                <w:bCs/>
                <w:color w:val="000000"/>
                <w:sz w:val="20"/>
              </w:rPr>
              <w:t>2.0</w:t>
            </w:r>
          </w:p>
        </w:tc>
        <w:tc>
          <w:tcPr>
            <w:tcW w:w="1248" w:type="dxa"/>
            <w:tcBorders>
              <w:top w:val="single" w:sz="18"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b/>
                <w:bCs/>
                <w:color w:val="000000"/>
                <w:sz w:val="20"/>
              </w:rPr>
              <w:t>1.2</w:t>
            </w:r>
          </w:p>
        </w:tc>
        <w:tc>
          <w:tcPr>
            <w:tcW w:w="1248" w:type="dxa"/>
            <w:tcBorders>
              <w:top w:val="single" w:sz="18"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b/>
                <w:bCs/>
                <w:color w:val="808080" w:themeColor="background1" w:themeShade="80"/>
                <w:sz w:val="20"/>
              </w:rPr>
            </w:pPr>
            <w:r w:rsidRPr="001B0115">
              <w:rPr>
                <w:b/>
                <w:bCs/>
                <w:color w:val="808080" w:themeColor="background1" w:themeShade="80"/>
                <w:sz w:val="20"/>
              </w:rPr>
              <w:t>1.2 (A1)</w:t>
            </w:r>
          </w:p>
        </w:tc>
        <w:tc>
          <w:tcPr>
            <w:tcW w:w="1248" w:type="dxa"/>
            <w:tcBorders>
              <w:top w:val="single" w:sz="18"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b/>
                <w:bCs/>
                <w:color w:val="808080" w:themeColor="background1" w:themeShade="80"/>
                <w:sz w:val="20"/>
              </w:rPr>
            </w:pPr>
            <w:r w:rsidRPr="001B0115">
              <w:rPr>
                <w:b/>
                <w:bCs/>
                <w:color w:val="808080" w:themeColor="background1" w:themeShade="80"/>
                <w:sz w:val="20"/>
              </w:rPr>
              <w:t>1.2 (A3)</w:t>
            </w:r>
          </w:p>
        </w:tc>
      </w:tr>
      <w:tr w:rsidR="001B0115"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867C1A">
            <w:pPr>
              <w:spacing w:before="120" w:after="120"/>
              <w:jc w:val="both"/>
            </w:pPr>
            <w:r>
              <w:rPr>
                <w:b/>
                <w:bCs/>
                <w:color w:val="000000"/>
                <w:sz w:val="20"/>
              </w:rPr>
              <w:t>Frequency (central) [GHz]</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b/>
                <w:bCs/>
                <w:color w:val="000000"/>
                <w:sz w:val="20"/>
              </w:rPr>
              <w:t>150</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Default="00C708E5" w:rsidP="00867C1A">
            <w:pPr>
              <w:spacing w:before="120" w:after="120"/>
              <w:jc w:val="center"/>
            </w:pPr>
            <w:r>
              <w:rPr>
                <w:b/>
                <w:bCs/>
                <w:color w:val="000000"/>
                <w:sz w:val="20"/>
              </w:rPr>
              <w:t>26</w:t>
            </w:r>
            <w:r w:rsidR="001B0115">
              <w:rPr>
                <w:b/>
                <w:bCs/>
                <w:color w:val="000000"/>
                <w:sz w:val="20"/>
              </w:rPr>
              <w:t>0</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b/>
                <w:bCs/>
                <w:color w:val="808080" w:themeColor="background1" w:themeShade="80"/>
                <w:sz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b/>
                <w:bCs/>
                <w:color w:val="808080" w:themeColor="background1" w:themeShade="80"/>
                <w:sz w:val="20"/>
              </w:rPr>
            </w:pPr>
          </w:p>
        </w:tc>
      </w:tr>
      <w:tr w:rsidR="001B0115" w:rsidRPr="00AE49E6"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1B0115" w:rsidRPr="00AE49E6" w:rsidRDefault="001B0115" w:rsidP="00204DCF">
            <w:pPr>
              <w:spacing w:before="120" w:after="120"/>
              <w:jc w:val="both"/>
              <w:rPr>
                <w:color w:val="FF0000"/>
                <w:sz w:val="20"/>
              </w:rPr>
            </w:pPr>
            <w:r w:rsidRPr="00AE49E6">
              <w:rPr>
                <w:color w:val="FF0000"/>
                <w:sz w:val="20"/>
              </w:rPr>
              <w:t>Measured central frequency [GHz]</w:t>
            </w:r>
            <w:r>
              <w:rPr>
                <w:color w:val="FF0000"/>
                <w:sz w:val="20"/>
              </w:rPr>
              <w:t xml:space="preserve">     </w:t>
            </w:r>
            <w:r w:rsidRPr="00204DCF">
              <w:rPr>
                <w:b/>
                <w:color w:val="00B050"/>
                <w:sz w:val="20"/>
              </w:rPr>
              <w:t>{</w:t>
            </w:r>
            <w:r w:rsidR="00204DCF" w:rsidRPr="00204DCF">
              <w:rPr>
                <w:b/>
                <w:color w:val="00B050"/>
                <w:sz w:val="20"/>
              </w:rPr>
              <w:t>p. 4, 75</w:t>
            </w:r>
            <w:r w:rsidRPr="00204DCF">
              <w:rPr>
                <w:b/>
                <w:color w:val="00B050"/>
                <w:sz w:val="20"/>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1B0115" w:rsidRPr="00AE49E6" w:rsidRDefault="001B0115" w:rsidP="00867C1A">
            <w:pPr>
              <w:spacing w:before="120" w:after="120"/>
              <w:jc w:val="center"/>
              <w:rPr>
                <w:color w:val="FF0000"/>
                <w:sz w:val="20"/>
              </w:rPr>
            </w:pPr>
            <w:r>
              <w:rPr>
                <w:color w:val="FF0000"/>
                <w:sz w:val="20"/>
              </w:rPr>
              <w:t>152</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1B0115" w:rsidRPr="00AE49E6" w:rsidRDefault="001B0115" w:rsidP="00867C1A">
            <w:pPr>
              <w:spacing w:before="120" w:after="120"/>
              <w:jc w:val="center"/>
              <w:rPr>
                <w:color w:val="FF0000"/>
                <w:sz w:val="20"/>
              </w:rPr>
            </w:pPr>
            <w:r>
              <w:rPr>
                <w:color w:val="FF0000"/>
                <w:sz w:val="20"/>
              </w:rPr>
              <w:t>257</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1B0115" w:rsidRPr="001B0115" w:rsidRDefault="00204DCF" w:rsidP="00867C1A">
            <w:pPr>
              <w:spacing w:before="120" w:after="120"/>
              <w:jc w:val="center"/>
              <w:rPr>
                <w:color w:val="808080" w:themeColor="background1" w:themeShade="80"/>
                <w:sz w:val="20"/>
              </w:rPr>
            </w:pPr>
            <w:r>
              <w:rPr>
                <w:color w:val="808080" w:themeColor="background1" w:themeShade="80"/>
                <w:sz w:val="20"/>
              </w:rPr>
              <w:t>256</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1B0115" w:rsidRPr="001B0115" w:rsidRDefault="00204DCF" w:rsidP="00867C1A">
            <w:pPr>
              <w:spacing w:before="120" w:after="120"/>
              <w:jc w:val="center"/>
              <w:rPr>
                <w:color w:val="808080" w:themeColor="background1" w:themeShade="80"/>
                <w:sz w:val="20"/>
              </w:rPr>
            </w:pPr>
            <w:r>
              <w:rPr>
                <w:color w:val="808080" w:themeColor="background1" w:themeShade="80"/>
                <w:sz w:val="20"/>
              </w:rPr>
              <w:t>258</w:t>
            </w:r>
          </w:p>
        </w:tc>
      </w:tr>
      <w:tr w:rsidR="001B0115"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CB3112">
            <w:pPr>
              <w:spacing w:before="120" w:after="120"/>
              <w:jc w:val="both"/>
            </w:pPr>
            <w:r>
              <w:rPr>
                <w:color w:val="000000"/>
                <w:sz w:val="20"/>
              </w:rPr>
              <w:t>NEFD</w:t>
            </w:r>
            <w:r w:rsidRPr="00CB3112">
              <w:rPr>
                <w:color w:val="000000"/>
                <w:sz w:val="20"/>
                <w:vertAlign w:val="superscript"/>
              </w:rPr>
              <w:t>(1)</w:t>
            </w:r>
            <w:r>
              <w:rPr>
                <w:color w:val="000000"/>
                <w:sz w:val="20"/>
              </w:rPr>
              <w:t xml:space="preserve"> [mJy</w:t>
            </w:r>
            <w:r>
              <w:rPr>
                <w:rFonts w:ascii="Symbol" w:hAnsi="Symbol" w:cs="Symbol"/>
                <w:color w:val="000000"/>
                <w:sz w:val="20"/>
              </w:rPr>
              <w:t></w:t>
            </w:r>
            <w:r>
              <w:rPr>
                <w:color w:val="000000"/>
                <w:sz w:val="20"/>
              </w:rPr>
              <w:t>s</w:t>
            </w:r>
            <w:r>
              <w:rPr>
                <w:color w:val="000000"/>
                <w:sz w:val="20"/>
                <w:vertAlign w:val="superscript"/>
              </w:rPr>
              <w:t>1/2</w:t>
            </w:r>
            <w:r>
              <w:rPr>
                <w:color w:val="000000"/>
                <w:sz w:val="20"/>
              </w:rPr>
              <w:t>/beam] goal on 90 % of the pixels</w:t>
            </w:r>
          </w:p>
        </w:tc>
        <w:tc>
          <w:tcPr>
            <w:tcW w:w="1248" w:type="dxa"/>
            <w:tcBorders>
              <w:top w:val="single" w:sz="12"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color w:val="000000"/>
                <w:sz w:val="20"/>
              </w:rPr>
              <w:t>10</w:t>
            </w:r>
          </w:p>
        </w:tc>
        <w:tc>
          <w:tcPr>
            <w:tcW w:w="1248"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color w:val="000000"/>
                <w:sz w:val="20"/>
              </w:rPr>
              <w:t>15</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rPr>
            </w:pPr>
          </w:p>
        </w:tc>
      </w:tr>
      <w:tr w:rsidR="001B0115"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CB3112">
            <w:pPr>
              <w:spacing w:before="120" w:after="120"/>
              <w:jc w:val="both"/>
            </w:pPr>
            <w:r>
              <w:rPr>
                <w:color w:val="000000"/>
                <w:sz w:val="20"/>
              </w:rPr>
              <w:t>NEFD</w:t>
            </w:r>
            <w:r w:rsidRPr="00CB3112">
              <w:rPr>
                <w:color w:val="000000"/>
                <w:sz w:val="20"/>
                <w:vertAlign w:val="superscript"/>
              </w:rPr>
              <w:t>(1)</w:t>
            </w:r>
            <w:r>
              <w:rPr>
                <w:color w:val="000000"/>
                <w:sz w:val="20"/>
              </w:rPr>
              <w:t xml:space="preserve"> [mJy</w:t>
            </w:r>
            <w:r>
              <w:rPr>
                <w:rFonts w:ascii="Symbol" w:hAnsi="Symbol" w:cs="Symbol"/>
                <w:color w:val="000000"/>
                <w:sz w:val="20"/>
              </w:rPr>
              <w:t></w:t>
            </w:r>
            <w:r>
              <w:rPr>
                <w:color w:val="000000"/>
                <w:sz w:val="20"/>
              </w:rPr>
              <w:t>s</w:t>
            </w:r>
            <w:r>
              <w:rPr>
                <w:color w:val="000000"/>
                <w:sz w:val="20"/>
                <w:vertAlign w:val="superscript"/>
              </w:rPr>
              <w:t>1/2</w:t>
            </w:r>
            <w:r>
              <w:rPr>
                <w:color w:val="000000"/>
                <w:sz w:val="20"/>
              </w:rPr>
              <w:t>/beam] specification on 50 % of the pixels</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color w:val="000000"/>
                <w:sz w:val="20"/>
              </w:rPr>
              <w:t>20</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color w:val="000000"/>
                <w:sz w:val="20"/>
              </w:rPr>
              <w:t>30</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rPr>
            </w:pPr>
          </w:p>
        </w:tc>
      </w:tr>
      <w:tr w:rsidR="001B0115" w:rsidRPr="00AE49E6"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Pr="00AE49E6" w:rsidRDefault="001B0115" w:rsidP="00CB3112">
            <w:pPr>
              <w:spacing w:before="120" w:after="120"/>
              <w:jc w:val="both"/>
              <w:rPr>
                <w:color w:val="FF0000"/>
                <w:sz w:val="20"/>
                <w:szCs w:val="20"/>
              </w:rPr>
            </w:pPr>
            <w:r w:rsidRPr="00AE49E6">
              <w:rPr>
                <w:color w:val="FF0000"/>
                <w:sz w:val="20"/>
                <w:szCs w:val="20"/>
              </w:rPr>
              <w:t>Measured NEFD</w:t>
            </w:r>
            <w:r w:rsidRPr="00CB3112">
              <w:rPr>
                <w:color w:val="FF0000"/>
                <w:sz w:val="20"/>
                <w:szCs w:val="20"/>
                <w:vertAlign w:val="superscript"/>
              </w:rPr>
              <w:t>(1)</w:t>
            </w:r>
            <w:r w:rsidRPr="00AE49E6">
              <w:rPr>
                <w:color w:val="FF0000"/>
                <w:sz w:val="20"/>
                <w:szCs w:val="20"/>
              </w:rPr>
              <w:t xml:space="preserve"> </w:t>
            </w:r>
            <w:r w:rsidRPr="00AE49E6">
              <w:rPr>
                <w:color w:val="FF0000"/>
                <w:sz w:val="20"/>
              </w:rPr>
              <w:t>[mJy</w:t>
            </w:r>
            <w:r w:rsidRPr="00AE49E6">
              <w:rPr>
                <w:rFonts w:ascii="Symbol" w:hAnsi="Symbol" w:cs="Symbol"/>
                <w:color w:val="FF0000"/>
                <w:sz w:val="20"/>
              </w:rPr>
              <w:t></w:t>
            </w:r>
            <w:r w:rsidRPr="00AE49E6">
              <w:rPr>
                <w:color w:val="FF0000"/>
                <w:sz w:val="20"/>
              </w:rPr>
              <w:t>s</w:t>
            </w:r>
            <w:r w:rsidRPr="00AE49E6">
              <w:rPr>
                <w:color w:val="FF0000"/>
                <w:sz w:val="20"/>
                <w:vertAlign w:val="superscript"/>
              </w:rPr>
              <w:t>1/2</w:t>
            </w:r>
            <w:r w:rsidRPr="00AE49E6">
              <w:rPr>
                <w:color w:val="FF0000"/>
                <w:sz w:val="20"/>
              </w:rPr>
              <w:t xml:space="preserve"> /beam]</w:t>
            </w:r>
            <w:r>
              <w:rPr>
                <w:color w:val="FF0000"/>
                <w:sz w:val="20"/>
              </w:rPr>
              <w:t xml:space="preserve">    {p. 29</w:t>
            </w:r>
            <w:r w:rsidR="00204DCF">
              <w:rPr>
                <w:color w:val="FF0000"/>
                <w:sz w:val="20"/>
              </w:rPr>
              <w:t>, 76</w:t>
            </w:r>
            <w:r>
              <w:rPr>
                <w:color w:val="FF0000"/>
                <w:sz w:val="20"/>
              </w:rPr>
              <w:t>}</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Pr="00AE49E6" w:rsidRDefault="001B0115" w:rsidP="00867C1A">
            <w:pPr>
              <w:spacing w:before="120" w:after="120"/>
              <w:jc w:val="center"/>
              <w:rPr>
                <w:color w:val="FF0000"/>
                <w:sz w:val="20"/>
                <w:szCs w:val="17"/>
              </w:rPr>
            </w:pPr>
            <w:r>
              <w:rPr>
                <w:color w:val="FF0000"/>
                <w:sz w:val="20"/>
                <w:szCs w:val="17"/>
              </w:rPr>
              <w:t>6</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Pr="00AE49E6" w:rsidRDefault="001B0115" w:rsidP="00867C1A">
            <w:pPr>
              <w:spacing w:before="120" w:after="120"/>
              <w:jc w:val="center"/>
              <w:rPr>
                <w:color w:val="FF0000"/>
                <w:sz w:val="20"/>
                <w:szCs w:val="17"/>
              </w:rPr>
            </w:pPr>
            <w:r>
              <w:rPr>
                <w:color w:val="FF0000"/>
                <w:sz w:val="20"/>
                <w:szCs w:val="17"/>
              </w:rPr>
              <w:t>22</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szCs w:val="17"/>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szCs w:val="17"/>
              </w:rPr>
            </w:pPr>
          </w:p>
        </w:tc>
      </w:tr>
      <w:tr w:rsidR="00A43E9D" w:rsidRPr="00AE49E6"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Pr="00AE49E6" w:rsidRDefault="00A43E9D" w:rsidP="00B767DC">
            <w:pPr>
              <w:spacing w:before="120" w:after="120"/>
              <w:jc w:val="both"/>
              <w:rPr>
                <w:color w:val="FF0000"/>
                <w:sz w:val="20"/>
                <w:szCs w:val="20"/>
              </w:rPr>
            </w:pPr>
            <w:r w:rsidRPr="00AE49E6">
              <w:rPr>
                <w:color w:val="FF0000"/>
                <w:sz w:val="20"/>
                <w:szCs w:val="20"/>
              </w:rPr>
              <w:t>Fraction of usable pixels (KID)</w:t>
            </w:r>
            <w:r>
              <w:rPr>
                <w:color w:val="FF0000"/>
                <w:sz w:val="20"/>
                <w:szCs w:val="20"/>
              </w:rPr>
              <w:t xml:space="preserve">            </w:t>
            </w:r>
            <w:r w:rsidRPr="00A43E9D">
              <w:rPr>
                <w:b/>
                <w:color w:val="00B050"/>
                <w:sz w:val="20"/>
                <w:szCs w:val="20"/>
              </w:rPr>
              <w:t>{p. 6}</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43E9D" w:rsidRPr="00AE49E6" w:rsidRDefault="00A43E9D" w:rsidP="00B767DC">
            <w:pPr>
              <w:spacing w:before="120" w:after="120"/>
              <w:jc w:val="center"/>
              <w:rPr>
                <w:color w:val="FF0000"/>
                <w:sz w:val="20"/>
                <w:szCs w:val="17"/>
              </w:rPr>
            </w:pPr>
            <w:r>
              <w:rPr>
                <w:color w:val="FF0000"/>
                <w:sz w:val="20"/>
                <w:szCs w:val="17"/>
              </w:rPr>
              <w:t>78</w:t>
            </w:r>
            <w:r w:rsidR="00014870">
              <w:rPr>
                <w:color w:val="FF0000"/>
                <w:sz w:val="20"/>
                <w:szCs w:val="17"/>
              </w:rPr>
              <w:t xml:space="preserve"> %</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Pr="00AE49E6" w:rsidRDefault="00A43E9D" w:rsidP="00B767DC">
            <w:pPr>
              <w:spacing w:before="120" w:after="120"/>
              <w:jc w:val="center"/>
              <w:rPr>
                <w:color w:val="FF0000"/>
                <w:sz w:val="20"/>
                <w:szCs w:val="17"/>
              </w:rPr>
            </w:pPr>
            <w:r>
              <w:rPr>
                <w:color w:val="FF0000"/>
                <w:sz w:val="20"/>
                <w:szCs w:val="17"/>
              </w:rPr>
              <w:t>73</w:t>
            </w:r>
            <w:r w:rsidR="00014870">
              <w:rPr>
                <w:color w:val="FF0000"/>
                <w:sz w:val="20"/>
                <w:szCs w:val="17"/>
              </w:rPr>
              <w:t xml:space="preserve"> %</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014870" w:rsidP="00867C1A">
            <w:pPr>
              <w:spacing w:before="120" w:after="120"/>
              <w:jc w:val="center"/>
              <w:rPr>
                <w:color w:val="808080" w:themeColor="background1" w:themeShade="80"/>
                <w:sz w:val="20"/>
                <w:szCs w:val="17"/>
              </w:rPr>
            </w:pPr>
            <w:r>
              <w:rPr>
                <w:color w:val="808080" w:themeColor="background1" w:themeShade="80"/>
                <w:sz w:val="20"/>
                <w:szCs w:val="17"/>
              </w:rPr>
              <w:t>70 %</w:t>
            </w: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014870" w:rsidP="00867C1A">
            <w:pPr>
              <w:spacing w:before="120" w:after="120"/>
              <w:jc w:val="center"/>
              <w:rPr>
                <w:color w:val="808080" w:themeColor="background1" w:themeShade="80"/>
                <w:sz w:val="20"/>
                <w:szCs w:val="17"/>
              </w:rPr>
            </w:pPr>
            <w:r>
              <w:rPr>
                <w:color w:val="808080" w:themeColor="background1" w:themeShade="80"/>
                <w:sz w:val="20"/>
                <w:szCs w:val="17"/>
              </w:rPr>
              <w:t>76 %</w:t>
            </w:r>
          </w:p>
        </w:tc>
      </w:tr>
      <w:tr w:rsidR="00A43E9D" w:rsidRPr="0094444D"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Default="00A43E9D" w:rsidP="00867C1A">
            <w:pPr>
              <w:spacing w:before="120" w:after="120"/>
              <w:jc w:val="both"/>
              <w:rPr>
                <w:color w:val="808080" w:themeColor="background1" w:themeShade="80"/>
                <w:sz w:val="20"/>
                <w:szCs w:val="20"/>
              </w:rPr>
            </w:pPr>
            <w:r w:rsidRPr="0094444D">
              <w:rPr>
                <w:color w:val="808080" w:themeColor="background1" w:themeShade="80"/>
                <w:sz w:val="20"/>
                <w:szCs w:val="20"/>
              </w:rPr>
              <w:t xml:space="preserve">Number of </w:t>
            </w:r>
            <w:r>
              <w:rPr>
                <w:color w:val="808080" w:themeColor="background1" w:themeShade="80"/>
                <w:sz w:val="20"/>
                <w:szCs w:val="20"/>
              </w:rPr>
              <w:t xml:space="preserve">KID total / </w:t>
            </w:r>
            <w:r w:rsidRPr="0094444D">
              <w:rPr>
                <w:color w:val="808080" w:themeColor="background1" w:themeShade="80"/>
                <w:sz w:val="20"/>
                <w:szCs w:val="20"/>
              </w:rPr>
              <w:t>valid pixels</w:t>
            </w:r>
            <w:r>
              <w:rPr>
                <w:color w:val="808080" w:themeColor="background1" w:themeShade="80"/>
                <w:sz w:val="20"/>
                <w:szCs w:val="20"/>
              </w:rPr>
              <w:t xml:space="preserve">     </w:t>
            </w:r>
          </w:p>
          <w:p w:rsidR="00A43E9D" w:rsidRPr="0094444D" w:rsidRDefault="00A43E9D" w:rsidP="00A43E9D">
            <w:pPr>
              <w:spacing w:before="120" w:after="120"/>
              <w:jc w:val="both"/>
              <w:rPr>
                <w:color w:val="808080" w:themeColor="background1" w:themeShade="80"/>
                <w:sz w:val="20"/>
                <w:szCs w:val="20"/>
              </w:rPr>
            </w:pPr>
            <w:r w:rsidRPr="00A43E9D">
              <w:rPr>
                <w:b/>
                <w:color w:val="808080" w:themeColor="background1" w:themeShade="80"/>
                <w:sz w:val="20"/>
                <w:szCs w:val="20"/>
              </w:rPr>
              <w:t xml:space="preserve">{p.6 official, </w:t>
            </w:r>
            <w:r>
              <w:rPr>
                <w:b/>
                <w:color w:val="808080" w:themeColor="background1" w:themeShade="80"/>
                <w:sz w:val="20"/>
                <w:szCs w:val="20"/>
              </w:rPr>
              <w:t>p.</w:t>
            </w:r>
            <w:r w:rsidRPr="00A43E9D">
              <w:rPr>
                <w:b/>
                <w:color w:val="808080" w:themeColor="background1" w:themeShade="80"/>
                <w:sz w:val="20"/>
                <w:szCs w:val="20"/>
              </w:rPr>
              <w:t xml:space="preserve">9 2bm &amp; 5bm, </w:t>
            </w:r>
            <w:r>
              <w:rPr>
                <w:b/>
                <w:color w:val="808080" w:themeColor="background1" w:themeShade="80"/>
                <w:sz w:val="20"/>
                <w:szCs w:val="20"/>
              </w:rPr>
              <w:t>p.</w:t>
            </w:r>
            <w:r w:rsidRPr="00A43E9D">
              <w:rPr>
                <w:b/>
                <w:color w:val="808080" w:themeColor="background1" w:themeShade="80"/>
                <w:sz w:val="20"/>
                <w:szCs w:val="20"/>
              </w:rPr>
              <w:t>10}</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94444D" w:rsidRDefault="00A43E9D" w:rsidP="00867C1A">
            <w:pPr>
              <w:spacing w:before="120" w:after="120"/>
              <w:jc w:val="center"/>
              <w:rPr>
                <w:color w:val="808080" w:themeColor="background1" w:themeShade="80"/>
                <w:sz w:val="20"/>
                <w:szCs w:val="17"/>
              </w:rPr>
            </w:pPr>
            <w:r>
              <w:rPr>
                <w:color w:val="808080" w:themeColor="background1" w:themeShade="80"/>
                <w:sz w:val="20"/>
                <w:szCs w:val="17"/>
              </w:rPr>
              <w:t xml:space="preserve">616 / 481, </w:t>
            </w:r>
            <w:r w:rsidRPr="00E50680">
              <w:rPr>
                <w:b/>
                <w:color w:val="808080" w:themeColor="background1" w:themeShade="80"/>
                <w:sz w:val="20"/>
                <w:szCs w:val="17"/>
              </w:rPr>
              <w:t>553</w:t>
            </w:r>
            <w:r>
              <w:rPr>
                <w:color w:val="808080" w:themeColor="background1" w:themeShade="80"/>
                <w:sz w:val="20"/>
                <w:szCs w:val="17"/>
              </w:rPr>
              <w:t>, 508, 543</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A43E9D" w:rsidRPr="0094444D" w:rsidRDefault="00A43E9D" w:rsidP="00867C1A">
            <w:pPr>
              <w:spacing w:before="120" w:after="120"/>
              <w:jc w:val="center"/>
              <w:rPr>
                <w:color w:val="808080" w:themeColor="background1" w:themeShade="80"/>
                <w:sz w:val="20"/>
                <w:szCs w:val="17"/>
              </w:rPr>
            </w:pP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94444D" w:rsidRDefault="00A43E9D" w:rsidP="00867C1A">
            <w:pPr>
              <w:spacing w:before="120" w:after="120"/>
              <w:jc w:val="center"/>
              <w:rPr>
                <w:color w:val="808080" w:themeColor="background1" w:themeShade="80"/>
                <w:sz w:val="20"/>
                <w:szCs w:val="17"/>
              </w:rPr>
            </w:pPr>
            <w:r>
              <w:rPr>
                <w:color w:val="808080" w:themeColor="background1" w:themeShade="80"/>
                <w:sz w:val="20"/>
                <w:szCs w:val="17"/>
              </w:rPr>
              <w:t xml:space="preserve">1140 / 793, </w:t>
            </w:r>
            <w:r w:rsidRPr="00E50680">
              <w:rPr>
                <w:b/>
                <w:color w:val="808080" w:themeColor="background1" w:themeShade="80"/>
                <w:sz w:val="20"/>
                <w:szCs w:val="17"/>
              </w:rPr>
              <w:t>952</w:t>
            </w:r>
            <w:r>
              <w:rPr>
                <w:color w:val="808080" w:themeColor="background1" w:themeShade="80"/>
                <w:sz w:val="20"/>
                <w:szCs w:val="17"/>
              </w:rPr>
              <w:t>, 840, 925</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A43E9D" w:rsidRPr="0094444D" w:rsidRDefault="00E50680" w:rsidP="00867C1A">
            <w:pPr>
              <w:spacing w:before="120" w:after="120"/>
              <w:jc w:val="center"/>
              <w:rPr>
                <w:color w:val="808080" w:themeColor="background1" w:themeShade="80"/>
                <w:sz w:val="20"/>
                <w:szCs w:val="17"/>
              </w:rPr>
            </w:pPr>
            <w:r>
              <w:rPr>
                <w:color w:val="808080" w:themeColor="background1" w:themeShade="80"/>
                <w:sz w:val="20"/>
                <w:szCs w:val="17"/>
              </w:rPr>
              <w:t xml:space="preserve">1140 / </w:t>
            </w:r>
            <w:r w:rsidR="00A43E9D">
              <w:rPr>
                <w:color w:val="808080" w:themeColor="background1" w:themeShade="80"/>
                <w:sz w:val="20"/>
                <w:szCs w:val="17"/>
              </w:rPr>
              <w:t xml:space="preserve">872, </w:t>
            </w:r>
            <w:r w:rsidR="00A43E9D" w:rsidRPr="00E50680">
              <w:rPr>
                <w:b/>
                <w:color w:val="808080" w:themeColor="background1" w:themeShade="80"/>
                <w:sz w:val="20"/>
                <w:szCs w:val="17"/>
              </w:rPr>
              <w:t>961</w:t>
            </w:r>
            <w:r w:rsidR="00A43E9D">
              <w:rPr>
                <w:color w:val="808080" w:themeColor="background1" w:themeShade="80"/>
                <w:sz w:val="20"/>
                <w:szCs w:val="17"/>
              </w:rPr>
              <w:t xml:space="preserve">, 868, 944 </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20"/>
              </w:rPr>
              <w:t>FWHM [</w:t>
            </w:r>
            <w:proofErr w:type="spellStart"/>
            <w:r>
              <w:rPr>
                <w:color w:val="000000"/>
                <w:sz w:val="20"/>
                <w:szCs w:val="20"/>
              </w:rPr>
              <w:t>arcsec</w:t>
            </w:r>
            <w:proofErr w:type="spellEnd"/>
            <w:r>
              <w:rPr>
                <w:color w:val="000000"/>
                <w:sz w:val="20"/>
                <w:szCs w:val="20"/>
              </w:rPr>
              <w:t>] goal</w:t>
            </w:r>
          </w:p>
        </w:tc>
        <w:tc>
          <w:tcPr>
            <w:tcW w:w="1248" w:type="dxa"/>
            <w:tcBorders>
              <w:top w:val="single" w:sz="12" w:space="0" w:color="000001"/>
              <w:left w:val="single" w:sz="6" w:space="0" w:color="000001"/>
              <w:bottom w:val="single" w:sz="6" w:space="0" w:color="000001"/>
              <w:right w:val="single" w:sz="6" w:space="0" w:color="000001"/>
            </w:tcBorders>
            <w:shd w:val="clear" w:color="auto" w:fill="FFFFFF"/>
            <w:tcMar>
              <w:left w:w="112" w:type="dxa"/>
            </w:tcMar>
          </w:tcPr>
          <w:p w:rsidR="00A43E9D" w:rsidRDefault="00A43E9D" w:rsidP="00867C1A">
            <w:pPr>
              <w:spacing w:before="120" w:after="120"/>
              <w:jc w:val="center"/>
            </w:pPr>
            <w:r>
              <w:rPr>
                <w:color w:val="000000"/>
                <w:sz w:val="20"/>
                <w:szCs w:val="17"/>
              </w:rPr>
              <w:t>16</w:t>
            </w:r>
          </w:p>
        </w:tc>
        <w:tc>
          <w:tcPr>
            <w:tcW w:w="1248"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17"/>
              </w:rPr>
              <w:t>10</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17"/>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17"/>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FWHM [</w:t>
            </w:r>
            <w:proofErr w:type="spellStart"/>
            <w:r>
              <w:rPr>
                <w:color w:val="000000"/>
                <w:sz w:val="20"/>
                <w:szCs w:val="17"/>
              </w:rPr>
              <w:t>arcsec</w:t>
            </w:r>
            <w:proofErr w:type="spellEnd"/>
            <w:r>
              <w:rPr>
                <w:color w:val="000000"/>
                <w:sz w:val="20"/>
                <w:szCs w:val="17"/>
              </w:rPr>
              <w:t>] specification</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43E9D" w:rsidRDefault="00A43E9D" w:rsidP="00867C1A">
            <w:pPr>
              <w:spacing w:before="120" w:after="120"/>
              <w:jc w:val="center"/>
            </w:pPr>
            <w:r>
              <w:rPr>
                <w:color w:val="000000"/>
                <w:sz w:val="20"/>
                <w:szCs w:val="20"/>
              </w:rPr>
              <w:t>18</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12</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RPr="00AE49E6"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Pr="00AE49E6" w:rsidRDefault="00A43E9D" w:rsidP="00014870">
            <w:pPr>
              <w:spacing w:before="120" w:after="120"/>
              <w:jc w:val="both"/>
              <w:rPr>
                <w:color w:val="FF0000"/>
                <w:sz w:val="20"/>
                <w:szCs w:val="17"/>
              </w:rPr>
            </w:pPr>
            <w:r w:rsidRPr="00AE49E6">
              <w:rPr>
                <w:color w:val="FF0000"/>
                <w:sz w:val="20"/>
                <w:szCs w:val="17"/>
              </w:rPr>
              <w:t>Measured FWHM [</w:t>
            </w:r>
            <w:proofErr w:type="spellStart"/>
            <w:r w:rsidRPr="00AE49E6">
              <w:rPr>
                <w:color w:val="FF0000"/>
                <w:sz w:val="20"/>
                <w:szCs w:val="17"/>
              </w:rPr>
              <w:t>arcsec</w:t>
            </w:r>
            <w:proofErr w:type="spellEnd"/>
            <w:r w:rsidRPr="00AE49E6">
              <w:rPr>
                <w:color w:val="FF0000"/>
                <w:sz w:val="20"/>
                <w:szCs w:val="17"/>
              </w:rPr>
              <w:t>]</w:t>
            </w:r>
            <w:r>
              <w:rPr>
                <w:color w:val="FF0000"/>
                <w:sz w:val="20"/>
                <w:szCs w:val="17"/>
              </w:rPr>
              <w:t xml:space="preserve">                   </w:t>
            </w:r>
            <w:r w:rsidRPr="00014870">
              <w:rPr>
                <w:b/>
                <w:color w:val="00B050"/>
                <w:sz w:val="20"/>
                <w:szCs w:val="17"/>
              </w:rPr>
              <w:t xml:space="preserve">{p. </w:t>
            </w:r>
            <w:r w:rsidR="00014870" w:rsidRPr="00014870">
              <w:rPr>
                <w:b/>
                <w:color w:val="00B050"/>
                <w:sz w:val="20"/>
                <w:szCs w:val="17"/>
              </w:rPr>
              <w:t>28</w:t>
            </w:r>
            <w:r w:rsidRPr="00014870">
              <w:rPr>
                <w:b/>
                <w:color w:val="00B050"/>
                <w:sz w:val="20"/>
                <w:szCs w:val="17"/>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AE49E6" w:rsidRDefault="00A43E9D" w:rsidP="00014870">
            <w:pPr>
              <w:spacing w:before="120" w:after="120"/>
              <w:jc w:val="center"/>
              <w:rPr>
                <w:color w:val="FF0000"/>
                <w:sz w:val="20"/>
                <w:szCs w:val="20"/>
              </w:rPr>
            </w:pPr>
            <w:r>
              <w:rPr>
                <w:color w:val="FF0000"/>
                <w:sz w:val="20"/>
                <w:szCs w:val="20"/>
              </w:rPr>
              <w:t>17.</w:t>
            </w:r>
            <w:r w:rsidR="00014870">
              <w:rPr>
                <w:color w:val="FF0000"/>
                <w:sz w:val="20"/>
                <w:szCs w:val="20"/>
              </w:rPr>
              <w:t>5</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Pr>
          <w:p w:rsidR="00A43E9D" w:rsidRPr="00AE49E6" w:rsidRDefault="00A43E9D" w:rsidP="00014870">
            <w:pPr>
              <w:spacing w:before="120" w:after="120"/>
              <w:jc w:val="center"/>
              <w:rPr>
                <w:color w:val="FF0000"/>
                <w:sz w:val="20"/>
                <w:szCs w:val="20"/>
              </w:rPr>
            </w:pPr>
            <w:r>
              <w:rPr>
                <w:color w:val="FF0000"/>
                <w:sz w:val="20"/>
                <w:szCs w:val="20"/>
              </w:rPr>
              <w:t>1</w:t>
            </w:r>
            <w:r w:rsidR="00014870">
              <w:rPr>
                <w:color w:val="FF0000"/>
                <w:sz w:val="20"/>
                <w:szCs w:val="20"/>
              </w:rPr>
              <w:t>0</w:t>
            </w:r>
            <w:r>
              <w:rPr>
                <w:color w:val="FF0000"/>
                <w:sz w:val="20"/>
                <w:szCs w:val="20"/>
              </w:rPr>
              <w:t>.</w:t>
            </w:r>
            <w:r w:rsidR="00014870">
              <w:rPr>
                <w:color w:val="FF0000"/>
                <w:sz w:val="20"/>
                <w:szCs w:val="20"/>
              </w:rPr>
              <w:t>9</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1B0115" w:rsidRDefault="00014870" w:rsidP="00867C1A">
            <w:pPr>
              <w:spacing w:before="120" w:after="120"/>
              <w:jc w:val="center"/>
              <w:rPr>
                <w:color w:val="808080" w:themeColor="background1" w:themeShade="80"/>
                <w:sz w:val="20"/>
                <w:szCs w:val="20"/>
              </w:rPr>
            </w:pPr>
            <w:r>
              <w:rPr>
                <w:color w:val="808080" w:themeColor="background1" w:themeShade="80"/>
                <w:sz w:val="20"/>
                <w:szCs w:val="20"/>
              </w:rPr>
              <w:t>10.9</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014870" w:rsidRPr="001B0115" w:rsidRDefault="00014870" w:rsidP="00014870">
            <w:pPr>
              <w:spacing w:before="120" w:after="120"/>
              <w:jc w:val="center"/>
              <w:rPr>
                <w:color w:val="808080" w:themeColor="background1" w:themeShade="80"/>
                <w:sz w:val="20"/>
                <w:szCs w:val="20"/>
              </w:rPr>
            </w:pPr>
            <w:r>
              <w:rPr>
                <w:color w:val="808080" w:themeColor="background1" w:themeShade="80"/>
                <w:sz w:val="20"/>
                <w:szCs w:val="20"/>
              </w:rPr>
              <w:t>10.9</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FOV diameter [</w:t>
            </w:r>
            <w:proofErr w:type="spellStart"/>
            <w:r>
              <w:rPr>
                <w:color w:val="000000"/>
                <w:sz w:val="20"/>
                <w:szCs w:val="17"/>
              </w:rPr>
              <w:t>arcmin</w:t>
            </w:r>
            <w:proofErr w:type="spellEnd"/>
            <w:r>
              <w:rPr>
                <w:color w:val="000000"/>
                <w:sz w:val="20"/>
                <w:szCs w:val="17"/>
              </w:rPr>
              <w:t>] goal</w:t>
            </w:r>
          </w:p>
        </w:tc>
        <w:tc>
          <w:tcPr>
            <w:tcW w:w="2496"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6.5</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FOV diameter [</w:t>
            </w:r>
            <w:proofErr w:type="spellStart"/>
            <w:r>
              <w:rPr>
                <w:color w:val="000000"/>
                <w:sz w:val="20"/>
                <w:szCs w:val="17"/>
              </w:rPr>
              <w:t>arcmin</w:t>
            </w:r>
            <w:proofErr w:type="spellEnd"/>
            <w:r>
              <w:rPr>
                <w:color w:val="000000"/>
                <w:sz w:val="20"/>
                <w:szCs w:val="17"/>
              </w:rPr>
              <w:t>] specification</w:t>
            </w:r>
          </w:p>
        </w:tc>
        <w:tc>
          <w:tcPr>
            <w:tcW w:w="2496" w:type="dxa"/>
            <w:gridSpan w:val="2"/>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5</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Default="00816F71" w:rsidP="00816F71">
            <w:pPr>
              <w:spacing w:before="120" w:after="120"/>
              <w:jc w:val="both"/>
              <w:rPr>
                <w:color w:val="000000"/>
                <w:sz w:val="20"/>
                <w:szCs w:val="17"/>
              </w:rPr>
            </w:pPr>
            <w:r>
              <w:rPr>
                <w:color w:val="FF0000"/>
                <w:sz w:val="20"/>
                <w:szCs w:val="17"/>
              </w:rPr>
              <w:t>Effective FOV [</w:t>
            </w:r>
            <w:proofErr w:type="spellStart"/>
            <w:r>
              <w:rPr>
                <w:color w:val="FF0000"/>
                <w:sz w:val="20"/>
                <w:szCs w:val="17"/>
              </w:rPr>
              <w:t>arcmin</w:t>
            </w:r>
            <w:proofErr w:type="spellEnd"/>
            <w:r w:rsidR="00B302E3">
              <w:rPr>
                <w:color w:val="FF0000"/>
                <w:sz w:val="20"/>
                <w:szCs w:val="17"/>
              </w:rPr>
              <w:t>]</w:t>
            </w:r>
            <w:r>
              <w:rPr>
                <w:color w:val="FF0000"/>
                <w:sz w:val="20"/>
                <w:szCs w:val="17"/>
              </w:rPr>
              <w:t xml:space="preserve">    </w:t>
            </w:r>
            <w:r w:rsidRPr="00014870">
              <w:rPr>
                <w:b/>
                <w:color w:val="00B050"/>
                <w:sz w:val="20"/>
                <w:szCs w:val="17"/>
              </w:rPr>
              <w:t xml:space="preserve">{p. </w:t>
            </w:r>
            <w:r>
              <w:rPr>
                <w:b/>
                <w:color w:val="00B050"/>
                <w:sz w:val="20"/>
                <w:szCs w:val="17"/>
              </w:rPr>
              <w:t xml:space="preserve">9 &amp; 75 </w:t>
            </w:r>
            <w:r w:rsidRPr="00816F71">
              <w:rPr>
                <w:color w:val="00B050"/>
                <w:sz w:val="20"/>
                <w:szCs w:val="17"/>
              </w:rPr>
              <w:t xml:space="preserve">but miss </w:t>
            </w:r>
            <w:proofErr w:type="spellStart"/>
            <w:r w:rsidRPr="00816F71">
              <w:rPr>
                <w:color w:val="00B050"/>
                <w:sz w:val="20"/>
                <w:szCs w:val="17"/>
              </w:rPr>
              <w:t>gridstep</w:t>
            </w:r>
            <w:proofErr w:type="spellEnd"/>
            <w:r w:rsidRPr="00816F71">
              <w:rPr>
                <w:color w:val="00B050"/>
                <w:sz w:val="20"/>
                <w:szCs w:val="17"/>
              </w:rPr>
              <w:t xml:space="preserve"> value</w:t>
            </w:r>
            <w:r w:rsidRPr="00014870">
              <w:rPr>
                <w:b/>
                <w:color w:val="00B050"/>
                <w:sz w:val="20"/>
                <w:szCs w:val="17"/>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D3178B" w:rsidRDefault="00E50680" w:rsidP="00867C1A">
            <w:pPr>
              <w:spacing w:before="120" w:after="120"/>
              <w:jc w:val="center"/>
              <w:rPr>
                <w:color w:val="E36C0A" w:themeColor="accent6" w:themeShade="BF"/>
                <w:sz w:val="20"/>
                <w:szCs w:val="20"/>
              </w:rPr>
            </w:pPr>
            <w:r>
              <w:rPr>
                <w:color w:val="E36C0A" w:themeColor="accent6" w:themeShade="BF"/>
                <w:sz w:val="20"/>
                <w:szCs w:val="20"/>
              </w:rPr>
              <w:t>4.9 (or 5.9)</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Pr>
          <w:p w:rsidR="00A43E9D" w:rsidRPr="00D3178B" w:rsidRDefault="00A43E9D" w:rsidP="00E50680">
            <w:pPr>
              <w:spacing w:before="120" w:after="120"/>
              <w:jc w:val="center"/>
              <w:rPr>
                <w:color w:val="E36C0A" w:themeColor="accent6" w:themeShade="BF"/>
                <w:sz w:val="20"/>
                <w:szCs w:val="20"/>
              </w:rPr>
            </w:pPr>
            <w:r w:rsidRPr="00D3178B">
              <w:rPr>
                <w:color w:val="E36C0A" w:themeColor="accent6" w:themeShade="BF"/>
                <w:sz w:val="20"/>
                <w:szCs w:val="20"/>
              </w:rPr>
              <w:t>5.</w:t>
            </w:r>
            <w:r w:rsidR="00E50680">
              <w:rPr>
                <w:color w:val="E36C0A" w:themeColor="accent6" w:themeShade="BF"/>
                <w:sz w:val="20"/>
                <w:szCs w:val="20"/>
              </w:rPr>
              <w:t>6</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1B0115" w:rsidRDefault="00E50680" w:rsidP="00E50680">
            <w:pPr>
              <w:spacing w:before="120" w:after="120"/>
              <w:jc w:val="center"/>
              <w:rPr>
                <w:color w:val="808080" w:themeColor="background1" w:themeShade="80"/>
                <w:sz w:val="20"/>
                <w:szCs w:val="20"/>
              </w:rPr>
            </w:pPr>
            <w:r>
              <w:rPr>
                <w:color w:val="808080" w:themeColor="background1" w:themeShade="80"/>
                <w:sz w:val="20"/>
                <w:szCs w:val="20"/>
              </w:rPr>
              <w:t>5.4 (or 5.7)</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A43E9D" w:rsidRPr="001B0115" w:rsidRDefault="00E50680" w:rsidP="00867C1A">
            <w:pPr>
              <w:spacing w:before="120" w:after="120"/>
              <w:jc w:val="center"/>
              <w:rPr>
                <w:color w:val="808080" w:themeColor="background1" w:themeShade="80"/>
                <w:sz w:val="20"/>
                <w:szCs w:val="20"/>
              </w:rPr>
            </w:pPr>
            <w:r>
              <w:rPr>
                <w:color w:val="808080" w:themeColor="background1" w:themeShade="80"/>
                <w:sz w:val="20"/>
                <w:szCs w:val="20"/>
              </w:rPr>
              <w:t>5.6 (or 5.8)</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Pixel size in beam sampling unit [F</w:t>
            </w:r>
            <w:r>
              <w:rPr>
                <w:rFonts w:ascii="Symbol" w:hAnsi="Symbol"/>
                <w:color w:val="000000"/>
                <w:sz w:val="20"/>
                <w:szCs w:val="17"/>
              </w:rPr>
              <w:t></w:t>
            </w:r>
            <w:r>
              <w:rPr>
                <w:sz w:val="20"/>
                <w:szCs w:val="20"/>
              </w:rPr>
              <w:t>] goal</w:t>
            </w:r>
          </w:p>
        </w:tc>
        <w:tc>
          <w:tcPr>
            <w:tcW w:w="2496"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0.6</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lastRenderedPageBreak/>
              <w:t>Pixel size in beam sampling unit [F</w:t>
            </w:r>
            <w:r>
              <w:rPr>
                <w:rFonts w:ascii="Symbol" w:hAnsi="Symbol"/>
                <w:color w:val="000000"/>
                <w:sz w:val="20"/>
                <w:szCs w:val="17"/>
              </w:rPr>
              <w:t></w:t>
            </w:r>
            <w:r>
              <w:rPr>
                <w:sz w:val="20"/>
                <w:szCs w:val="20"/>
              </w:rPr>
              <w:t>] specification</w:t>
            </w:r>
          </w:p>
        </w:tc>
        <w:tc>
          <w:tcPr>
            <w:tcW w:w="2496" w:type="dxa"/>
            <w:gridSpan w:val="2"/>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0.9</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18" w:space="0" w:color="000001"/>
              <w:right w:val="single" w:sz="6" w:space="0" w:color="000001"/>
            </w:tcBorders>
            <w:shd w:val="clear" w:color="auto" w:fill="FFFFFF"/>
            <w:tcMar>
              <w:left w:w="82" w:type="dxa"/>
            </w:tcMar>
          </w:tcPr>
          <w:p w:rsidR="00A43E9D" w:rsidRDefault="00A43E9D" w:rsidP="00F64D00">
            <w:pPr>
              <w:spacing w:before="120" w:after="120"/>
              <w:jc w:val="both"/>
              <w:rPr>
                <w:color w:val="000000"/>
                <w:sz w:val="20"/>
                <w:szCs w:val="17"/>
              </w:rPr>
            </w:pPr>
            <w:r w:rsidRPr="0037728C">
              <w:rPr>
                <w:color w:val="00B0F0"/>
                <w:sz w:val="20"/>
                <w:szCs w:val="17"/>
              </w:rPr>
              <w:t>Effective pixel size in beam unit [F</w:t>
            </w:r>
            <w:r w:rsidRPr="0037728C">
              <w:rPr>
                <w:rFonts w:ascii="Symbol" w:hAnsi="Symbol"/>
                <w:color w:val="00B0F0"/>
                <w:sz w:val="20"/>
                <w:szCs w:val="17"/>
              </w:rPr>
              <w:t></w:t>
            </w:r>
            <w:r w:rsidRPr="0037728C">
              <w:rPr>
                <w:color w:val="00B0F0"/>
                <w:sz w:val="20"/>
                <w:szCs w:val="20"/>
              </w:rPr>
              <w:t>]</w:t>
            </w:r>
            <w:r w:rsidR="00F64D00">
              <w:rPr>
                <w:color w:val="00B0F0"/>
                <w:sz w:val="20"/>
                <w:szCs w:val="20"/>
              </w:rPr>
              <w:t xml:space="preserve"> </w:t>
            </w:r>
            <w:r w:rsidR="00F64D00" w:rsidRPr="00F64D00">
              <w:rPr>
                <w:b/>
                <w:color w:val="00B050"/>
                <w:sz w:val="20"/>
                <w:szCs w:val="20"/>
                <w:vertAlign w:val="superscript"/>
              </w:rPr>
              <w:t>(2)</w:t>
            </w:r>
          </w:p>
        </w:tc>
        <w:tc>
          <w:tcPr>
            <w:tcW w:w="1248" w:type="dxa"/>
            <w:tcBorders>
              <w:top w:val="single" w:sz="6" w:space="0" w:color="000001"/>
              <w:left w:val="single" w:sz="6" w:space="0" w:color="000001"/>
              <w:bottom w:val="single" w:sz="18" w:space="0" w:color="000001"/>
              <w:right w:val="single" w:sz="6" w:space="0" w:color="000001"/>
            </w:tcBorders>
            <w:shd w:val="clear" w:color="auto" w:fill="FFFFFF"/>
            <w:tcMar>
              <w:left w:w="112" w:type="dxa"/>
            </w:tcMar>
          </w:tcPr>
          <w:p w:rsidR="00A43E9D" w:rsidRPr="00D3178B" w:rsidRDefault="00A43E9D" w:rsidP="00867C1A">
            <w:pPr>
              <w:spacing w:before="120" w:after="120"/>
              <w:jc w:val="center"/>
              <w:rPr>
                <w:color w:val="E36C0A" w:themeColor="accent6" w:themeShade="BF"/>
                <w:sz w:val="20"/>
                <w:szCs w:val="20"/>
              </w:rPr>
            </w:pPr>
            <w:r w:rsidRPr="00D3178B">
              <w:rPr>
                <w:color w:val="E36C0A" w:themeColor="accent6" w:themeShade="BF"/>
                <w:sz w:val="20"/>
                <w:szCs w:val="20"/>
              </w:rPr>
              <w:t>0.9</w:t>
            </w:r>
            <w:r w:rsidR="00B302E3">
              <w:rPr>
                <w:color w:val="E36C0A" w:themeColor="accent6" w:themeShade="BF"/>
                <w:sz w:val="20"/>
                <w:szCs w:val="20"/>
              </w:rPr>
              <w:t>3</w:t>
            </w:r>
          </w:p>
        </w:tc>
        <w:tc>
          <w:tcPr>
            <w:tcW w:w="1248" w:type="dxa"/>
            <w:tcBorders>
              <w:top w:val="single" w:sz="6" w:space="0" w:color="000001"/>
              <w:left w:val="single" w:sz="6" w:space="0" w:color="000001"/>
              <w:bottom w:val="single" w:sz="18" w:space="0" w:color="000001"/>
              <w:right w:val="single" w:sz="4" w:space="0" w:color="000001"/>
            </w:tcBorders>
            <w:shd w:val="clear" w:color="auto" w:fill="FFFFFF"/>
          </w:tcPr>
          <w:p w:rsidR="00A43E9D" w:rsidRPr="00D3178B" w:rsidRDefault="00B302E3" w:rsidP="00867C1A">
            <w:pPr>
              <w:spacing w:before="120" w:after="120"/>
              <w:jc w:val="center"/>
              <w:rPr>
                <w:color w:val="E36C0A" w:themeColor="accent6" w:themeShade="BF"/>
                <w:sz w:val="20"/>
                <w:szCs w:val="20"/>
              </w:rPr>
            </w:pPr>
            <w:r>
              <w:rPr>
                <w:color w:val="E36C0A" w:themeColor="accent6" w:themeShade="BF"/>
                <w:sz w:val="20"/>
                <w:szCs w:val="20"/>
              </w:rPr>
              <w:t>1.09</w:t>
            </w:r>
          </w:p>
        </w:tc>
        <w:tc>
          <w:tcPr>
            <w:tcW w:w="1248" w:type="dxa"/>
            <w:tcBorders>
              <w:top w:val="single" w:sz="6" w:space="0" w:color="000001"/>
              <w:left w:val="single" w:sz="4" w:space="0" w:color="000001"/>
              <w:bottom w:val="single" w:sz="18"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18"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bl>
    <w:p w:rsidR="00AE49E6" w:rsidRDefault="00CB3112"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(1)</w:t>
      </w:r>
      <w:r w:rsidR="00B730AD">
        <w:rPr>
          <w:rFonts w:ascii="Calibri" w:eastAsia="Arial Unicode MS" w:hAnsi="Calibri" w:cs="Tahoma"/>
          <w:sz w:val="20"/>
          <w:lang w:val="en-GB"/>
        </w:rPr>
        <w:t xml:space="preserve"> Practical value for a good sky: 2mm </w:t>
      </w:r>
      <w:proofErr w:type="spellStart"/>
      <w:r w:rsidR="00B730AD">
        <w:rPr>
          <w:rFonts w:ascii="Calibri" w:eastAsia="Arial Unicode MS" w:hAnsi="Calibri" w:cs="Tahoma"/>
          <w:sz w:val="20"/>
          <w:lang w:val="en-GB"/>
        </w:rPr>
        <w:t>pwv</w:t>
      </w:r>
      <w:proofErr w:type="spellEnd"/>
      <w:r w:rsidR="00B730AD">
        <w:rPr>
          <w:rFonts w:ascii="Calibri" w:eastAsia="Arial Unicode MS" w:hAnsi="Calibri" w:cs="Tahoma"/>
          <w:sz w:val="20"/>
          <w:lang w:val="en-GB"/>
        </w:rPr>
        <w:t>, 60° elevation.</w:t>
      </w:r>
    </w:p>
    <w:p w:rsidR="00F64D00" w:rsidRPr="00F64D00" w:rsidRDefault="00F64D00" w:rsidP="00AE49E6">
      <w:pPr>
        <w:rPr>
          <w:rFonts w:eastAsia="Arial Unicode MS"/>
        </w:rPr>
      </w:pPr>
      <w:r>
        <w:rPr>
          <w:rFonts w:ascii="Calibri" w:eastAsia="Arial Unicode MS" w:hAnsi="Calibri" w:cs="Tahoma"/>
          <w:sz w:val="20"/>
          <w:vertAlign w:val="superscript"/>
          <w:lang w:val="en-GB"/>
        </w:rPr>
        <w:t>(2)</w:t>
      </w:r>
      <w:r w:rsidRPr="00F64D00">
        <w:rPr>
          <w:rFonts w:asciiTheme="minorHAnsi" w:eastAsia="Arial Unicode MS" w:hAnsiTheme="minorHAnsi" w:cstheme="minorHAnsi"/>
          <w:sz w:val="20"/>
          <w:vertAlign w:val="superscript"/>
          <w:lang w:val="en-GB"/>
        </w:rPr>
        <w:t> </w:t>
      </w:r>
      <w:r w:rsidRPr="00F64D00">
        <w:rPr>
          <w:rFonts w:asciiTheme="minorHAnsi" w:hAnsiTheme="minorHAnsi" w:cstheme="minorHAnsi"/>
          <w:sz w:val="20"/>
          <w:szCs w:val="20"/>
        </w:rPr>
        <w:t>Calculated from real array pixel size [2.75mm / 2.0 mm] and unvignetted pupil diameter [27m].</w:t>
      </w:r>
    </w:p>
    <w:p w:rsidR="00B730AD" w:rsidRDefault="00B730AD" w:rsidP="00AE49E6">
      <w:pPr>
        <w:rPr>
          <w:rFonts w:ascii="Calibri" w:eastAsia="Arial Unicode MS" w:hAnsi="Calibri" w:cs="Tahoma"/>
          <w:sz w:val="20"/>
          <w:lang w:val="en-GB"/>
        </w:rPr>
      </w:pPr>
    </w:p>
    <w:p w:rsidR="00AE49E6" w:rsidRDefault="009E2104" w:rsidP="009E2104">
      <w:pPr>
        <w:pStyle w:val="Titre2"/>
        <w:rPr>
          <w:lang w:val="en-GB"/>
        </w:rPr>
      </w:pPr>
      <w:r>
        <w:rPr>
          <w:lang w:val="en-GB"/>
        </w:rPr>
        <w:t>Secondary table</w:t>
      </w:r>
    </w:p>
    <w:p w:rsidR="009E2104" w:rsidRDefault="009E2104" w:rsidP="00AE49E6">
      <w:pPr>
        <w:rPr>
          <w:rFonts w:ascii="Calibri" w:eastAsia="Arial Unicode MS" w:hAnsi="Calibri" w:cs="Tahoma"/>
          <w:sz w:val="20"/>
          <w:lang w:val="en-GB"/>
        </w:rPr>
      </w:pPr>
    </w:p>
    <w:p w:rsidR="009E2104" w:rsidRDefault="009E2104" w:rsidP="00AE49E6">
      <w:pPr>
        <w:rPr>
          <w:rFonts w:ascii="Calibri" w:eastAsia="Arial Unicode MS" w:hAnsi="Calibri" w:cs="Tahoma"/>
          <w:sz w:val="20"/>
          <w:lang w:val="en-GB"/>
        </w:rPr>
      </w:pPr>
      <w:r>
        <w:rPr>
          <w:rFonts w:ascii="Calibri" w:eastAsia="Arial Unicode MS" w:hAnsi="Calibri" w:cs="Tahoma"/>
          <w:sz w:val="20"/>
          <w:lang w:val="en-GB"/>
        </w:rPr>
        <w:t>The following table is constructed from the instrument characteristics description of the MoU</w:t>
      </w:r>
    </w:p>
    <w:p w:rsidR="009E2104" w:rsidRDefault="009E2104" w:rsidP="00AE49E6">
      <w:pPr>
        <w:rPr>
          <w:rFonts w:ascii="Calibri" w:eastAsia="Arial Unicode MS" w:hAnsi="Calibri" w:cs="Tahoma"/>
          <w:sz w:val="20"/>
          <w:lang w:val="en-GB"/>
        </w:rPr>
      </w:pPr>
    </w:p>
    <w:tbl>
      <w:tblPr>
        <w:tblW w:w="10491" w:type="dxa"/>
        <w:jc w:val="center"/>
        <w:tblInd w:w="-116" w:type="dxa"/>
        <w:tblBorders>
          <w:top w:val="single" w:sz="18" w:space="0" w:color="000001"/>
          <w:left w:val="single" w:sz="18" w:space="0" w:color="000001"/>
          <w:bottom w:val="single" w:sz="6" w:space="0" w:color="000001"/>
          <w:right w:val="single" w:sz="6" w:space="0" w:color="000001"/>
          <w:insideH w:val="single" w:sz="6" w:space="0" w:color="000001"/>
          <w:insideV w:val="single" w:sz="6" w:space="0" w:color="000001"/>
        </w:tblBorders>
        <w:tblCellMar>
          <w:left w:w="82" w:type="dxa"/>
        </w:tblCellMar>
        <w:tblLook w:val="04A0" w:firstRow="1" w:lastRow="0" w:firstColumn="1" w:lastColumn="0" w:noHBand="0" w:noVBand="1"/>
      </w:tblPr>
      <w:tblGrid>
        <w:gridCol w:w="6192"/>
        <w:gridCol w:w="1074"/>
        <w:gridCol w:w="1075"/>
        <w:gridCol w:w="1075"/>
        <w:gridCol w:w="1075"/>
      </w:tblGrid>
      <w:tr w:rsidR="005A6215" w:rsidRPr="00882A69" w:rsidTr="00640BCE">
        <w:trPr>
          <w:jc w:val="center"/>
        </w:trPr>
        <w:tc>
          <w:tcPr>
            <w:tcW w:w="6192" w:type="dxa"/>
            <w:tcBorders>
              <w:top w:val="single" w:sz="18" w:space="0" w:color="000001"/>
              <w:left w:val="single" w:sz="18" w:space="0" w:color="000001"/>
              <w:bottom w:val="single" w:sz="6" w:space="0" w:color="000001"/>
              <w:right w:val="single" w:sz="6" w:space="0" w:color="000001"/>
            </w:tcBorders>
            <w:shd w:val="clear" w:color="auto" w:fill="FFFFFF"/>
            <w:tcMar>
              <w:left w:w="82" w:type="dxa"/>
            </w:tcMar>
          </w:tcPr>
          <w:p w:rsidR="005A6215" w:rsidRPr="00882A69" w:rsidRDefault="005A6215" w:rsidP="00C341EE">
            <w:pPr>
              <w:tabs>
                <w:tab w:val="left" w:pos="5477"/>
              </w:tabs>
              <w:spacing w:before="120" w:after="120"/>
              <w:rPr>
                <w:sz w:val="20"/>
                <w:szCs w:val="20"/>
              </w:rPr>
            </w:pPr>
            <w:r>
              <w:rPr>
                <w:sz w:val="20"/>
                <w:szCs w:val="20"/>
              </w:rPr>
              <w:t>Effective bandwidth (∫</w:t>
            </w:r>
            <w:r>
              <w:rPr>
                <w:rFonts w:ascii="Symbol" w:hAnsi="Symbol"/>
                <w:sz w:val="20"/>
                <w:szCs w:val="20"/>
              </w:rPr>
              <w:t></w:t>
            </w:r>
            <w:r>
              <w:rPr>
                <w:sz w:val="20"/>
                <w:szCs w:val="20"/>
              </w:rPr>
              <w:softHyphen/>
            </w:r>
            <w:r>
              <w:rPr>
                <w:sz w:val="20"/>
                <w:szCs w:val="20"/>
              </w:rPr>
              <w:softHyphen/>
            </w:r>
            <w:r>
              <w:rPr>
                <w:rFonts w:ascii="Symbol" w:hAnsi="Symbol"/>
                <w:sz w:val="20"/>
                <w:szCs w:val="20"/>
                <w:vertAlign w:val="subscript"/>
              </w:rPr>
              <w:t></w:t>
            </w:r>
            <w:r>
              <w:rPr>
                <w:sz w:val="20"/>
              </w:rPr>
              <w:t>·d</w:t>
            </w:r>
            <w:r w:rsidRPr="00E62E16">
              <w:rPr>
                <w:rFonts w:ascii="Symbol" w:hAnsi="Symbol"/>
                <w:sz w:val="20"/>
              </w:rPr>
              <w:t></w:t>
            </w:r>
            <w:r>
              <w:rPr>
                <w:sz w:val="20"/>
                <w:szCs w:val="20"/>
              </w:rPr>
              <w:t>) indicative values</w:t>
            </w:r>
            <w:r>
              <w:rPr>
                <w:sz w:val="20"/>
                <w:szCs w:val="20"/>
                <w:vertAlign w:val="superscript"/>
              </w:rPr>
              <w:t>(2)</w:t>
            </w:r>
            <w:r>
              <w:rPr>
                <w:sz w:val="20"/>
                <w:szCs w:val="20"/>
              </w:rPr>
              <w:t xml:space="preserve">  [GHz] </w:t>
            </w:r>
          </w:p>
        </w:tc>
        <w:tc>
          <w:tcPr>
            <w:tcW w:w="1074" w:type="dxa"/>
            <w:tcBorders>
              <w:top w:val="single" w:sz="18" w:space="0" w:color="000001"/>
              <w:left w:val="single" w:sz="6" w:space="0" w:color="000001"/>
              <w:bottom w:val="single" w:sz="6" w:space="0" w:color="000001"/>
              <w:right w:val="single" w:sz="6" w:space="0" w:color="000001"/>
            </w:tcBorders>
            <w:shd w:val="clear" w:color="auto" w:fill="FFFFFF"/>
            <w:tcMar>
              <w:left w:w="112" w:type="dxa"/>
            </w:tcMar>
          </w:tcPr>
          <w:p w:rsidR="005A6215" w:rsidRPr="00882A69" w:rsidRDefault="005A6215" w:rsidP="00882A69">
            <w:pPr>
              <w:spacing w:before="120" w:after="120"/>
              <w:jc w:val="center"/>
              <w:rPr>
                <w:color w:val="000000"/>
                <w:sz w:val="20"/>
                <w:szCs w:val="20"/>
              </w:rPr>
            </w:pPr>
            <w:r>
              <w:rPr>
                <w:color w:val="000000"/>
                <w:sz w:val="20"/>
                <w:szCs w:val="20"/>
              </w:rPr>
              <w:t>50</w:t>
            </w:r>
          </w:p>
        </w:tc>
        <w:tc>
          <w:tcPr>
            <w:tcW w:w="1075" w:type="dxa"/>
            <w:tcBorders>
              <w:top w:val="single" w:sz="18" w:space="0" w:color="000001"/>
              <w:left w:val="single" w:sz="6" w:space="0" w:color="000001"/>
              <w:bottom w:val="single" w:sz="6" w:space="0" w:color="000001"/>
              <w:right w:val="single" w:sz="4" w:space="0" w:color="000001"/>
            </w:tcBorders>
            <w:shd w:val="clear" w:color="auto" w:fill="FFFFFF"/>
          </w:tcPr>
          <w:p w:rsidR="005A6215" w:rsidRPr="00882A69" w:rsidRDefault="005A6215" w:rsidP="00882A69">
            <w:pPr>
              <w:spacing w:before="120" w:after="120"/>
              <w:jc w:val="center"/>
              <w:rPr>
                <w:color w:val="000000"/>
                <w:sz w:val="20"/>
                <w:szCs w:val="20"/>
              </w:rPr>
            </w:pPr>
            <w:r>
              <w:rPr>
                <w:color w:val="000000"/>
                <w:sz w:val="20"/>
                <w:szCs w:val="20"/>
              </w:rPr>
              <w:t>100</w:t>
            </w:r>
          </w:p>
        </w:tc>
        <w:tc>
          <w:tcPr>
            <w:tcW w:w="1075" w:type="dxa"/>
            <w:tcBorders>
              <w:top w:val="single" w:sz="18" w:space="0" w:color="000001"/>
              <w:left w:val="single" w:sz="4" w:space="0" w:color="000001"/>
              <w:bottom w:val="single" w:sz="6" w:space="0" w:color="000001"/>
              <w:right w:val="dashSmallGap" w:sz="4" w:space="0" w:color="auto"/>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c>
          <w:tcPr>
            <w:tcW w:w="1075" w:type="dxa"/>
            <w:tcBorders>
              <w:top w:val="single" w:sz="18"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r>
      <w:tr w:rsidR="005A6215" w:rsidRPr="00882A69"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882A69" w:rsidRDefault="005A6215" w:rsidP="00C341EE">
            <w:pPr>
              <w:spacing w:before="120" w:after="120"/>
              <w:rPr>
                <w:sz w:val="20"/>
                <w:szCs w:val="20"/>
              </w:rPr>
            </w:pPr>
            <w:r>
              <w:rPr>
                <w:color w:val="00B0F0"/>
                <w:sz w:val="20"/>
                <w:szCs w:val="20"/>
              </w:rPr>
              <w:t>Measured e</w:t>
            </w:r>
            <w:r w:rsidRPr="00E62E16">
              <w:rPr>
                <w:color w:val="00B0F0"/>
                <w:sz w:val="20"/>
                <w:szCs w:val="20"/>
              </w:rPr>
              <w:t>ffective bandwidth</w:t>
            </w:r>
            <w:r>
              <w:rPr>
                <w:color w:val="00B0F0"/>
                <w:sz w:val="20"/>
                <w:szCs w:val="20"/>
                <w:vertAlign w:val="superscript"/>
              </w:rPr>
              <w:t>(2)</w:t>
            </w:r>
            <w:r w:rsidRPr="00E62E16">
              <w:rPr>
                <w:color w:val="00B0F0"/>
                <w:sz w:val="20"/>
                <w:szCs w:val="20"/>
              </w:rPr>
              <w:t xml:space="preserve"> (∫</w:t>
            </w:r>
            <w:r w:rsidRPr="00E62E16">
              <w:rPr>
                <w:rFonts w:ascii="Symbol" w:hAnsi="Symbol"/>
                <w:color w:val="00B0F0"/>
                <w:sz w:val="20"/>
                <w:szCs w:val="20"/>
              </w:rPr>
              <w:t></w:t>
            </w:r>
            <w:r w:rsidRPr="00E62E16">
              <w:rPr>
                <w:color w:val="00B0F0"/>
                <w:sz w:val="20"/>
                <w:szCs w:val="20"/>
              </w:rPr>
              <w:softHyphen/>
            </w:r>
            <w:r w:rsidRPr="00E62E16">
              <w:rPr>
                <w:color w:val="00B0F0"/>
                <w:sz w:val="20"/>
                <w:szCs w:val="20"/>
              </w:rPr>
              <w:softHyphen/>
            </w:r>
            <w:r w:rsidRPr="00E62E16">
              <w:rPr>
                <w:rFonts w:ascii="Symbol" w:hAnsi="Symbol"/>
                <w:color w:val="00B0F0"/>
                <w:sz w:val="20"/>
                <w:szCs w:val="20"/>
                <w:vertAlign w:val="subscript"/>
              </w:rPr>
              <w:t></w:t>
            </w:r>
            <w:r w:rsidRPr="00E62E16">
              <w:rPr>
                <w:color w:val="00B0F0"/>
                <w:sz w:val="20"/>
              </w:rPr>
              <w:t>·d</w:t>
            </w:r>
            <w:r w:rsidRPr="00E62E16">
              <w:rPr>
                <w:rFonts w:ascii="Symbol" w:hAnsi="Symbol"/>
                <w:color w:val="00B0F0"/>
                <w:sz w:val="20"/>
              </w:rPr>
              <w:t></w:t>
            </w:r>
            <w:r w:rsidRPr="00E62E16">
              <w:rPr>
                <w:color w:val="00B0F0"/>
                <w:sz w:val="20"/>
                <w:szCs w:val="20"/>
              </w:rPr>
              <w:t>) [GHz]</w:t>
            </w:r>
            <w:r>
              <w:rPr>
                <w:color w:val="00B0F0"/>
                <w:sz w:val="20"/>
                <w:szCs w:val="20"/>
              </w:rPr>
              <w:t xml:space="preserve">          </w:t>
            </w:r>
            <w:r w:rsidRPr="00204DCF">
              <w:rPr>
                <w:b/>
                <w:color w:val="00B050"/>
                <w:sz w:val="20"/>
                <w:szCs w:val="20"/>
              </w:rPr>
              <w:t>{p. 4}</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611DAA" w:rsidRDefault="005A6215" w:rsidP="00882A69">
            <w:pPr>
              <w:spacing w:before="120" w:after="120"/>
              <w:jc w:val="center"/>
              <w:rPr>
                <w:color w:val="00B0F0"/>
                <w:sz w:val="20"/>
                <w:szCs w:val="20"/>
              </w:rPr>
            </w:pPr>
            <w:r w:rsidRPr="00611DAA">
              <w:rPr>
                <w:color w:val="00B0F0"/>
                <w:sz w:val="20"/>
                <w:szCs w:val="20"/>
              </w:rPr>
              <w:t>42.1</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Pr>
          <w:p w:rsidR="005A6215" w:rsidRPr="00611DAA" w:rsidRDefault="005A6215" w:rsidP="00882A69">
            <w:pPr>
              <w:spacing w:before="120" w:after="120"/>
              <w:jc w:val="center"/>
              <w:rPr>
                <w:color w:val="00B0F0"/>
                <w:sz w:val="20"/>
                <w:szCs w:val="20"/>
              </w:rPr>
            </w:pPr>
            <w:r w:rsidRPr="00611DAA">
              <w:rPr>
                <w:color w:val="00B0F0"/>
                <w:sz w:val="20"/>
                <w:szCs w:val="20"/>
              </w:rPr>
              <w:t>46.7</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C50973" w:rsidP="00882A69">
            <w:pPr>
              <w:spacing w:before="120" w:after="120"/>
              <w:jc w:val="center"/>
              <w:rPr>
                <w:color w:val="808080" w:themeColor="background1" w:themeShade="80"/>
                <w:sz w:val="20"/>
                <w:szCs w:val="20"/>
              </w:rPr>
            </w:pPr>
            <w:r w:rsidRPr="00C50973">
              <w:rPr>
                <w:color w:val="808080" w:themeColor="background1" w:themeShade="80"/>
                <w:sz w:val="20"/>
                <w:szCs w:val="20"/>
              </w:rPr>
              <w:t>47.8</w:t>
            </w: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C50973" w:rsidP="00882A69">
            <w:pPr>
              <w:spacing w:before="120" w:after="120"/>
              <w:jc w:val="center"/>
              <w:rPr>
                <w:color w:val="808080" w:themeColor="background1" w:themeShade="80"/>
                <w:sz w:val="20"/>
                <w:szCs w:val="20"/>
              </w:rPr>
            </w:pPr>
            <w:r w:rsidRPr="00C50973">
              <w:rPr>
                <w:color w:val="808080" w:themeColor="background1" w:themeShade="80"/>
                <w:sz w:val="20"/>
                <w:szCs w:val="20"/>
              </w:rPr>
              <w:t>45.7</w:t>
            </w:r>
          </w:p>
        </w:tc>
      </w:tr>
      <w:tr w:rsidR="005A6215" w:rsidRPr="00882A69"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882A69" w:rsidRDefault="005A6215" w:rsidP="00BE1673">
            <w:pPr>
              <w:spacing w:before="120" w:after="120"/>
              <w:rPr>
                <w:sz w:val="20"/>
                <w:szCs w:val="20"/>
              </w:rPr>
            </w:pPr>
            <w:r w:rsidRPr="00882A69">
              <w:rPr>
                <w:sz w:val="20"/>
                <w:szCs w:val="20"/>
              </w:rPr>
              <w:t>Noise scaling down with integration time power law expectation for one hour, out of confusion limit</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882A69" w:rsidRDefault="005A6215" w:rsidP="00882A69">
            <w:pPr>
              <w:spacing w:before="120" w:after="120"/>
              <w:jc w:val="center"/>
              <w:rPr>
                <w:sz w:val="20"/>
                <w:szCs w:val="20"/>
                <w:vertAlign w:val="superscript"/>
              </w:rPr>
            </w:pPr>
            <w:r w:rsidRPr="00882A69">
              <w:rPr>
                <w:color w:val="000000"/>
                <w:sz w:val="20"/>
                <w:szCs w:val="20"/>
              </w:rPr>
              <w:t>√t</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r>
      <w:tr w:rsidR="00F259BE" w:rsidRPr="00882A69" w:rsidTr="00934DA3">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F259BE" w:rsidRPr="00771D2C" w:rsidRDefault="00F259BE" w:rsidP="009F201C">
            <w:pPr>
              <w:spacing w:before="120" w:after="120"/>
              <w:rPr>
                <w:color w:val="FF0000"/>
                <w:sz w:val="20"/>
                <w:szCs w:val="20"/>
              </w:rPr>
            </w:pPr>
            <w:r>
              <w:rPr>
                <w:color w:val="00B0F0"/>
                <w:sz w:val="20"/>
                <w:szCs w:val="20"/>
              </w:rPr>
              <w:t>E</w:t>
            </w:r>
            <w:r w:rsidRPr="00882A69">
              <w:rPr>
                <w:color w:val="00B0F0"/>
                <w:sz w:val="20"/>
                <w:szCs w:val="20"/>
              </w:rPr>
              <w:t>ffective power law</w:t>
            </w:r>
            <w:r>
              <w:rPr>
                <w:color w:val="00B0F0"/>
                <w:sz w:val="20"/>
                <w:szCs w:val="20"/>
              </w:rPr>
              <w:t xml:space="preserve"> of n</w:t>
            </w:r>
            <w:r w:rsidRPr="00882A69">
              <w:rPr>
                <w:color w:val="00B0F0"/>
                <w:sz w:val="20"/>
                <w:szCs w:val="20"/>
              </w:rPr>
              <w:t xml:space="preserve">oise </w:t>
            </w:r>
            <w:r>
              <w:rPr>
                <w:color w:val="00B0F0"/>
                <w:sz w:val="20"/>
                <w:szCs w:val="20"/>
              </w:rPr>
              <w:t>reduction</w:t>
            </w:r>
            <w:r w:rsidRPr="00882A69">
              <w:rPr>
                <w:color w:val="00B0F0"/>
                <w:sz w:val="20"/>
                <w:szCs w:val="20"/>
              </w:rPr>
              <w:t xml:space="preserve"> with integration time </w:t>
            </w:r>
            <w:r>
              <w:rPr>
                <w:color w:val="00B0F0"/>
                <w:sz w:val="20"/>
                <w:szCs w:val="20"/>
              </w:rPr>
              <w:t>(</w:t>
            </w:r>
            <w:r>
              <w:rPr>
                <w:color w:val="FF0000"/>
                <w:sz w:val="20"/>
                <w:szCs w:val="20"/>
              </w:rPr>
              <w:t>power must be &gt; 0.4</w:t>
            </w:r>
            <w:r>
              <w:rPr>
                <w:color w:val="00B0F0"/>
                <w:sz w:val="20"/>
                <w:szCs w:val="20"/>
              </w:rPr>
              <w:t xml:space="preserve">)       </w:t>
            </w:r>
            <w:r w:rsidRPr="00204DCF">
              <w:rPr>
                <w:b/>
                <w:color w:val="00B050"/>
                <w:sz w:val="20"/>
                <w:szCs w:val="20"/>
              </w:rPr>
              <w:t>{p. 4</w:t>
            </w:r>
            <w:r>
              <w:rPr>
                <w:b/>
                <w:color w:val="00B050"/>
                <w:sz w:val="20"/>
                <w:szCs w:val="20"/>
              </w:rPr>
              <w:t>6</w:t>
            </w:r>
            <w:r w:rsidRPr="00204DCF">
              <w:rPr>
                <w:b/>
                <w:color w:val="00B050"/>
                <w:sz w:val="20"/>
                <w:szCs w:val="20"/>
              </w:rPr>
              <w:t>}</w:t>
            </w:r>
          </w:p>
        </w:tc>
        <w:tc>
          <w:tcPr>
            <w:tcW w:w="4299" w:type="dxa"/>
            <w:gridSpan w:val="4"/>
            <w:tcBorders>
              <w:top w:val="single" w:sz="6" w:space="0" w:color="000001"/>
              <w:left w:val="single" w:sz="6" w:space="0" w:color="000001"/>
              <w:bottom w:val="single" w:sz="12" w:space="0" w:color="000001"/>
              <w:right w:val="single" w:sz="18" w:space="0" w:color="000001"/>
            </w:tcBorders>
            <w:shd w:val="clear" w:color="auto" w:fill="FFFFFF"/>
            <w:tcMar>
              <w:left w:w="112" w:type="dxa"/>
            </w:tcMar>
          </w:tcPr>
          <w:p w:rsidR="00F259BE" w:rsidRPr="00C50973" w:rsidRDefault="00F259BE" w:rsidP="00867C1A">
            <w:pPr>
              <w:spacing w:before="120" w:after="120"/>
              <w:jc w:val="center"/>
              <w:rPr>
                <w:color w:val="808080" w:themeColor="background1" w:themeShade="80"/>
                <w:sz w:val="20"/>
                <w:szCs w:val="20"/>
              </w:rPr>
            </w:pPr>
            <w:r>
              <w:rPr>
                <w:color w:val="00B0F0"/>
                <w:sz w:val="20"/>
                <w:szCs w:val="20"/>
              </w:rPr>
              <w:t>In agreement with 0.5 (see p. 46 of reference document)</w:t>
            </w:r>
          </w:p>
        </w:tc>
      </w:tr>
      <w:tr w:rsidR="00BC58ED" w:rsidRPr="00882A69" w:rsidTr="002502EA">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BC58ED" w:rsidRPr="00A01AC0" w:rsidRDefault="00BC58ED" w:rsidP="00F64D00">
            <w:pPr>
              <w:spacing w:before="120" w:after="120"/>
              <w:rPr>
                <w:b/>
                <w:color w:val="00B050"/>
                <w:sz w:val="20"/>
                <w:szCs w:val="20"/>
              </w:rPr>
            </w:pPr>
            <w:r>
              <w:rPr>
                <w:sz w:val="20"/>
                <w:szCs w:val="20"/>
              </w:rPr>
              <w:t>Dynamic range</w:t>
            </w:r>
            <w:r w:rsidR="004B4E0A">
              <w:rPr>
                <w:sz w:val="20"/>
                <w:szCs w:val="20"/>
              </w:rPr>
              <w:t xml:space="preserve"> criteria</w:t>
            </w:r>
            <w:r>
              <w:rPr>
                <w:sz w:val="20"/>
                <w:szCs w:val="20"/>
              </w:rPr>
              <w:t xml:space="preserve">: </w:t>
            </w:r>
            <w:r w:rsidR="004B4E0A" w:rsidRPr="004B4E0A">
              <w:rPr>
                <w:sz w:val="20"/>
                <w:szCs w:val="20"/>
              </w:rPr>
              <w:t xml:space="preserve">NEFD increase between 0.1 and 0.5 </w:t>
            </w:r>
            <w:r w:rsidR="00F64D00">
              <w:rPr>
                <w:sz w:val="20"/>
                <w:szCs w:val="20"/>
              </w:rPr>
              <w:t xml:space="preserve">atmospheric </w:t>
            </w:r>
            <w:r w:rsidR="004B4E0A" w:rsidRPr="004B4E0A">
              <w:rPr>
                <w:sz w:val="20"/>
                <w:szCs w:val="20"/>
              </w:rPr>
              <w:t xml:space="preserve">opacity must be slower than </w:t>
            </w:r>
            <w:r w:rsidR="004B4E0A">
              <w:rPr>
                <w:sz w:val="20"/>
                <w:szCs w:val="20"/>
              </w:rPr>
              <w:t>the theoretical increase of p</w:t>
            </w:r>
            <w:r w:rsidR="00F64D00">
              <w:rPr>
                <w:sz w:val="20"/>
                <w:szCs w:val="20"/>
              </w:rPr>
              <w:t xml:space="preserve">ure photon noise NEFD, which values (0.1 </w:t>
            </w:r>
            <w:r w:rsidR="00F64D00" w:rsidRPr="00F64D00">
              <w:rPr>
                <w:sz w:val="20"/>
                <w:szCs w:val="20"/>
              </w:rPr>
              <w:sym w:font="Wingdings" w:char="F0E0"/>
            </w:r>
            <w:r w:rsidR="00F64D00">
              <w:rPr>
                <w:sz w:val="20"/>
                <w:szCs w:val="20"/>
              </w:rPr>
              <w:t xml:space="preserve"> 0.5 opacity) are given for reference</w:t>
            </w:r>
          </w:p>
        </w:tc>
        <w:tc>
          <w:tcPr>
            <w:tcW w:w="1074"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BC58ED" w:rsidRPr="00882A69" w:rsidRDefault="004B4E0A" w:rsidP="004B4E0A">
            <w:pPr>
              <w:spacing w:before="120" w:after="120"/>
              <w:jc w:val="center"/>
              <w:rPr>
                <w:sz w:val="20"/>
                <w:szCs w:val="20"/>
              </w:rPr>
            </w:pPr>
            <w:r>
              <w:rPr>
                <w:sz w:val="20"/>
                <w:szCs w:val="20"/>
              </w:rPr>
              <w:t>3</w:t>
            </w:r>
            <w:r w:rsidR="00BC58ED">
              <w:rPr>
                <w:sz w:val="20"/>
                <w:szCs w:val="20"/>
              </w:rPr>
              <w:t xml:space="preserve"> </w:t>
            </w:r>
            <w:r w:rsidRPr="004B4E0A">
              <w:rPr>
                <w:sz w:val="20"/>
                <w:szCs w:val="20"/>
              </w:rPr>
              <w:sym w:font="Wingdings" w:char="F0E0"/>
            </w:r>
            <w:r w:rsidR="00BC58ED">
              <w:rPr>
                <w:sz w:val="20"/>
                <w:szCs w:val="20"/>
              </w:rPr>
              <w:t xml:space="preserve"> 7</w:t>
            </w:r>
          </w:p>
        </w:tc>
        <w:tc>
          <w:tcPr>
            <w:tcW w:w="1075" w:type="dxa"/>
            <w:tcBorders>
              <w:top w:val="single" w:sz="12" w:space="0" w:color="000001"/>
              <w:left w:val="single" w:sz="6" w:space="0" w:color="000001"/>
              <w:bottom w:val="single" w:sz="6" w:space="0" w:color="000001"/>
              <w:right w:val="single" w:sz="4" w:space="0" w:color="000001"/>
            </w:tcBorders>
            <w:shd w:val="clear" w:color="auto" w:fill="FFFFFF"/>
          </w:tcPr>
          <w:p w:rsidR="00BC58ED" w:rsidRPr="00882A69" w:rsidRDefault="004B4E0A" w:rsidP="00BC58ED">
            <w:pPr>
              <w:spacing w:before="120" w:after="120"/>
              <w:jc w:val="center"/>
              <w:rPr>
                <w:sz w:val="20"/>
                <w:szCs w:val="20"/>
              </w:rPr>
            </w:pPr>
            <w:r>
              <w:rPr>
                <w:sz w:val="20"/>
                <w:szCs w:val="20"/>
              </w:rPr>
              <w:t xml:space="preserve">4 </w:t>
            </w:r>
            <w:r w:rsidRPr="004B4E0A">
              <w:rPr>
                <w:sz w:val="20"/>
                <w:szCs w:val="20"/>
              </w:rPr>
              <w:sym w:font="Wingdings" w:char="F0E0"/>
            </w:r>
            <w:r w:rsidR="00BC58ED">
              <w:rPr>
                <w:sz w:val="20"/>
                <w:szCs w:val="20"/>
              </w:rPr>
              <w:t xml:space="preserve"> 12</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BC58ED" w:rsidRPr="00C50973" w:rsidRDefault="00BC58ED" w:rsidP="00882A69">
            <w:pPr>
              <w:spacing w:before="120" w:after="120"/>
              <w:jc w:val="center"/>
              <w:rPr>
                <w:color w:val="808080" w:themeColor="background1" w:themeShade="80"/>
                <w:sz w:val="20"/>
                <w:szCs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BC58ED" w:rsidRPr="00C50973" w:rsidRDefault="00BC58ED" w:rsidP="00882A69">
            <w:pPr>
              <w:spacing w:before="120" w:after="120"/>
              <w:jc w:val="center"/>
              <w:rPr>
                <w:color w:val="808080" w:themeColor="background1" w:themeShade="80"/>
                <w:sz w:val="20"/>
                <w:szCs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882A69" w:rsidRDefault="004B4E0A" w:rsidP="00F64D00">
            <w:pPr>
              <w:spacing w:before="120" w:after="120"/>
              <w:rPr>
                <w:color w:val="00B0F0"/>
                <w:sz w:val="20"/>
              </w:rPr>
            </w:pPr>
            <w:r>
              <w:rPr>
                <w:color w:val="00B0F0"/>
                <w:sz w:val="20"/>
              </w:rPr>
              <w:t>D</w:t>
            </w:r>
            <w:r w:rsidR="005A6215" w:rsidRPr="00882A69">
              <w:rPr>
                <w:color w:val="00B0F0"/>
                <w:sz w:val="20"/>
              </w:rPr>
              <w:t xml:space="preserve">ynamic range </w:t>
            </w:r>
            <w:r w:rsidR="00F64D00">
              <w:rPr>
                <w:color w:val="00B0F0"/>
                <w:sz w:val="20"/>
              </w:rPr>
              <w:t>criteria</w:t>
            </w:r>
            <w:r>
              <w:rPr>
                <w:color w:val="00B0F0"/>
                <w:sz w:val="20"/>
              </w:rPr>
              <w:t xml:space="preserve">: </w:t>
            </w:r>
            <w:r w:rsidR="00F64D00">
              <w:rPr>
                <w:color w:val="00B0F0"/>
                <w:sz w:val="20"/>
              </w:rPr>
              <w:t xml:space="preserve">values of </w:t>
            </w:r>
            <w:r w:rsidR="005A6215" w:rsidRPr="00882A69">
              <w:rPr>
                <w:color w:val="00B0F0"/>
                <w:sz w:val="20"/>
              </w:rPr>
              <w:t xml:space="preserve">NEFD </w:t>
            </w:r>
            <w:r w:rsidR="00F64D00">
              <w:rPr>
                <w:color w:val="00B0F0"/>
                <w:sz w:val="20"/>
              </w:rPr>
              <w:t>between</w:t>
            </w:r>
            <w:r>
              <w:rPr>
                <w:color w:val="00B0F0"/>
                <w:sz w:val="20"/>
              </w:rPr>
              <w:t xml:space="preserve"> 0.1 and </w:t>
            </w:r>
            <w:r w:rsidR="005A6215" w:rsidRPr="00882A69">
              <w:rPr>
                <w:color w:val="00B0F0"/>
                <w:sz w:val="20"/>
              </w:rPr>
              <w:t xml:space="preserve">0.5 </w:t>
            </w:r>
            <w:r>
              <w:rPr>
                <w:color w:val="00B0F0"/>
                <w:sz w:val="20"/>
              </w:rPr>
              <w:t>opacity</w:t>
            </w:r>
            <w:r w:rsidR="00F64D00">
              <w:rPr>
                <w:color w:val="00B0F0"/>
                <w:sz w:val="20"/>
              </w:rPr>
              <w:t>; slope must be slower than the pure photon noise</w:t>
            </w:r>
            <w:r w:rsidR="00877256">
              <w:rPr>
                <w:color w:val="00B0F0"/>
                <w:sz w:val="20"/>
                <w:szCs w:val="20"/>
              </w:rPr>
              <w:t xml:space="preserve">      </w:t>
            </w:r>
            <w:r w:rsidR="00877256" w:rsidRPr="00204DCF">
              <w:rPr>
                <w:b/>
                <w:color w:val="00B050"/>
                <w:sz w:val="20"/>
                <w:szCs w:val="20"/>
              </w:rPr>
              <w:t>{p. 4</w:t>
            </w:r>
            <w:r w:rsidR="00877256">
              <w:rPr>
                <w:b/>
                <w:color w:val="00B050"/>
                <w:sz w:val="20"/>
                <w:szCs w:val="20"/>
              </w:rPr>
              <w:t>5 &amp; 71</w:t>
            </w:r>
            <w:r w:rsidR="00877256" w:rsidRPr="00204DCF">
              <w:rPr>
                <w:b/>
                <w:color w:val="00B050"/>
                <w:sz w:val="20"/>
                <w:szCs w:val="20"/>
              </w:rPr>
              <w:t>}</w:t>
            </w:r>
            <w:r w:rsidR="00877256">
              <w:rPr>
                <w:color w:val="FF0000"/>
                <w:sz w:val="20"/>
                <w:vertAlign w:val="superscript"/>
              </w:rPr>
              <w:t>(4)</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4B4E0A" w:rsidRDefault="00BC58ED" w:rsidP="004B4E0A">
            <w:pPr>
              <w:spacing w:before="120" w:after="120"/>
              <w:jc w:val="center"/>
              <w:rPr>
                <w:color w:val="00B0F0"/>
                <w:sz w:val="20"/>
              </w:rPr>
            </w:pPr>
            <w:r w:rsidRPr="004B4E0A">
              <w:rPr>
                <w:color w:val="00B0F0"/>
                <w:sz w:val="20"/>
              </w:rPr>
              <w:t xml:space="preserve">7 </w:t>
            </w:r>
            <w:r w:rsidR="004B4E0A" w:rsidRPr="004B4E0A">
              <w:rPr>
                <w:color w:val="00B0F0"/>
                <w:sz w:val="20"/>
              </w:rPr>
              <w:sym w:font="Wingdings" w:char="F0E0"/>
            </w:r>
            <w:r w:rsidRPr="004B4E0A">
              <w:rPr>
                <w:color w:val="00B0F0"/>
                <w:sz w:val="20"/>
              </w:rPr>
              <w:t xml:space="preserve"> 10</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4B4E0A" w:rsidRDefault="00BC58ED" w:rsidP="004B4E0A">
            <w:pPr>
              <w:spacing w:before="120" w:after="120"/>
              <w:jc w:val="center"/>
              <w:rPr>
                <w:color w:val="00B0F0"/>
                <w:sz w:val="20"/>
              </w:rPr>
            </w:pPr>
            <w:r w:rsidRPr="004B4E0A">
              <w:rPr>
                <w:color w:val="00B0F0"/>
                <w:sz w:val="20"/>
              </w:rPr>
              <w:t xml:space="preserve">26 </w:t>
            </w:r>
            <w:r w:rsidR="004B4E0A" w:rsidRPr="004B4E0A">
              <w:rPr>
                <w:color w:val="00B0F0"/>
                <w:sz w:val="20"/>
              </w:rPr>
              <w:sym w:font="Wingdings" w:char="F0E0"/>
            </w:r>
            <w:r w:rsidRPr="004B4E0A">
              <w:rPr>
                <w:color w:val="00B0F0"/>
                <w:sz w:val="20"/>
              </w:rPr>
              <w:t xml:space="preserve"> 35</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44E0B" w:rsidRDefault="005A6215" w:rsidP="00BE1673">
            <w:pPr>
              <w:spacing w:before="120" w:after="120"/>
              <w:rPr>
                <w:sz w:val="20"/>
              </w:rPr>
            </w:pPr>
            <w:r>
              <w:rPr>
                <w:sz w:val="20"/>
              </w:rPr>
              <w:t>Maximum expected dispersion of the angular resolution (FWHM) on the FOV surface: goal (specification)</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A44E0B" w:rsidRDefault="005A6215" w:rsidP="00867C1A">
            <w:pPr>
              <w:spacing w:before="120" w:after="120"/>
              <w:jc w:val="center"/>
              <w:rPr>
                <w:sz w:val="20"/>
              </w:rPr>
            </w:pPr>
            <w:r>
              <w:rPr>
                <w:sz w:val="20"/>
              </w:rPr>
              <w:t>5% (10%)</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RPr="00AE49E6"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05F2A" w:rsidRPr="00A05F2A" w:rsidRDefault="005A6215" w:rsidP="00BE1673">
            <w:pPr>
              <w:spacing w:before="120" w:after="120"/>
              <w:rPr>
                <w:color w:val="00B0F0"/>
                <w:sz w:val="20"/>
              </w:rPr>
            </w:pPr>
            <w:r w:rsidRPr="00A05F2A">
              <w:rPr>
                <w:color w:val="00B0F0"/>
                <w:sz w:val="20"/>
              </w:rPr>
              <w:t>Measured dispersion of the angular resolution (FWHM) on the FOV</w:t>
            </w:r>
            <w:r w:rsidR="00A05F2A">
              <w:rPr>
                <w:color w:val="00B0F0"/>
                <w:sz w:val="20"/>
              </w:rPr>
              <w:t xml:space="preserve"> </w:t>
            </w:r>
            <w:r w:rsidR="00A05F2A">
              <w:rPr>
                <w:color w:val="00B0F0"/>
                <w:sz w:val="20"/>
                <w:szCs w:val="20"/>
              </w:rPr>
              <w:t xml:space="preserve">      </w:t>
            </w:r>
            <w:r w:rsidR="00A05F2A">
              <w:rPr>
                <w:b/>
                <w:color w:val="00B050"/>
                <w:sz w:val="20"/>
                <w:szCs w:val="20"/>
              </w:rPr>
              <w:t>{p. 28</w:t>
            </w:r>
            <w:r w:rsidR="00A05F2A"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A05F2A" w:rsidRDefault="005A6215" w:rsidP="00791FD1">
            <w:pPr>
              <w:spacing w:before="120" w:after="120"/>
              <w:jc w:val="center"/>
              <w:rPr>
                <w:color w:val="00B0F0"/>
                <w:sz w:val="20"/>
                <w:szCs w:val="17"/>
              </w:rPr>
            </w:pPr>
            <w:r w:rsidRPr="00A05F2A">
              <w:rPr>
                <w:color w:val="00B0F0"/>
                <w:sz w:val="20"/>
                <w:szCs w:val="17"/>
              </w:rPr>
              <w:t>0.2” (1.8%)</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A05F2A" w:rsidRDefault="005A6215" w:rsidP="00867C1A">
            <w:pPr>
              <w:spacing w:before="120" w:after="120"/>
              <w:jc w:val="center"/>
              <w:rPr>
                <w:color w:val="00B0F0"/>
                <w:sz w:val="20"/>
                <w:szCs w:val="17"/>
              </w:rPr>
            </w:pPr>
            <w:r w:rsidRPr="00A05F2A">
              <w:rPr>
                <w:color w:val="00B0F0"/>
                <w:sz w:val="20"/>
                <w:szCs w:val="17"/>
              </w:rPr>
              <w:t>0.2” (1.1%)</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szCs w:val="17"/>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szCs w:val="17"/>
              </w:rPr>
            </w:pPr>
          </w:p>
        </w:tc>
      </w:tr>
      <w:tr w:rsidR="005A6215" w:rsidRPr="00AE49E6"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05F2A" w:rsidRDefault="005A6215" w:rsidP="00A05F2A">
            <w:pPr>
              <w:spacing w:before="120" w:after="120"/>
              <w:rPr>
                <w:sz w:val="20"/>
                <w:szCs w:val="20"/>
              </w:rPr>
            </w:pPr>
            <w:r w:rsidRPr="00E24BD7">
              <w:rPr>
                <w:sz w:val="20"/>
                <w:szCs w:val="20"/>
              </w:rPr>
              <w:t>Absolute photometry of a point source goal (and specification)</w:t>
            </w:r>
            <w:r w:rsidR="00A05F2A">
              <w:rPr>
                <w:sz w:val="20"/>
                <w:szCs w:val="20"/>
              </w:rPr>
              <w:t>; part that comes in addition to t</w:t>
            </w:r>
            <w:r w:rsidR="001925A6">
              <w:rPr>
                <w:sz w:val="20"/>
                <w:szCs w:val="20"/>
              </w:rPr>
              <w:t>he calibrator model uncertainty</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vAlign w:val="center"/>
          </w:tcPr>
          <w:p w:rsidR="005A6215" w:rsidRDefault="005A6215" w:rsidP="00E24BD7">
            <w:pPr>
              <w:jc w:val="center"/>
            </w:pPr>
            <w:r>
              <w:rPr>
                <w:sz w:val="20"/>
              </w:rPr>
              <w:t>5% (10%)</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E24BD7">
            <w:pPr>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E24BD7">
            <w:pPr>
              <w:jc w:val="center"/>
              <w:rPr>
                <w:color w:val="808080" w:themeColor="background1" w:themeShade="80"/>
                <w:sz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BE1673" w:rsidRDefault="005A6215" w:rsidP="001925A6">
            <w:pPr>
              <w:spacing w:before="120" w:after="120"/>
              <w:rPr>
                <w:color w:val="00B0F0"/>
                <w:sz w:val="20"/>
              </w:rPr>
            </w:pPr>
            <w:r w:rsidRPr="00BE1673">
              <w:rPr>
                <w:color w:val="00B0F0"/>
                <w:sz w:val="20"/>
                <w:szCs w:val="20"/>
              </w:rPr>
              <w:t>Absolute photometry of a point source measured</w:t>
            </w:r>
            <w:r w:rsidR="00A05F2A">
              <w:rPr>
                <w:color w:val="00B0F0"/>
                <w:sz w:val="20"/>
                <w:szCs w:val="20"/>
              </w:rPr>
              <w:t>, in addition to t</w:t>
            </w:r>
            <w:r w:rsidR="001925A6">
              <w:rPr>
                <w:color w:val="00B0F0"/>
                <w:sz w:val="20"/>
                <w:szCs w:val="20"/>
              </w:rPr>
              <w:t xml:space="preserve">he calibrator model uncertainty         </w:t>
            </w:r>
            <w:r w:rsidR="001925A6" w:rsidRPr="00204DCF">
              <w:rPr>
                <w:b/>
                <w:color w:val="00B050"/>
                <w:sz w:val="20"/>
                <w:szCs w:val="20"/>
              </w:rPr>
              <w:t xml:space="preserve">{p. </w:t>
            </w:r>
            <w:r w:rsidR="001925A6">
              <w:rPr>
                <w:b/>
                <w:color w:val="00B050"/>
                <w:sz w:val="20"/>
                <w:szCs w:val="20"/>
              </w:rPr>
              <w:t>36-41 tbc</w:t>
            </w:r>
            <w:r w:rsidR="001925A6"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&lt;10%</w:t>
            </w:r>
            <w:r>
              <w:rPr>
                <w:color w:val="00B0F0"/>
                <w:sz w:val="20"/>
              </w:rPr>
              <w:t xml:space="preserve"> (tbc)</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&lt;10%</w:t>
            </w:r>
            <w:r>
              <w:rPr>
                <w:color w:val="00B0F0"/>
                <w:sz w:val="20"/>
              </w:rPr>
              <w:t xml:space="preserve"> (tbc)</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RPr="00AE49E6"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1925A6" w:rsidRDefault="005A6215" w:rsidP="00BE1673">
            <w:pPr>
              <w:spacing w:before="120" w:after="120"/>
              <w:rPr>
                <w:sz w:val="20"/>
                <w:szCs w:val="20"/>
              </w:rPr>
            </w:pPr>
            <w:r>
              <w:rPr>
                <w:sz w:val="20"/>
                <w:szCs w:val="20"/>
              </w:rPr>
              <w:t>Relative</w:t>
            </w:r>
            <w:r w:rsidRPr="00E24BD7">
              <w:rPr>
                <w:sz w:val="20"/>
                <w:szCs w:val="20"/>
              </w:rPr>
              <w:t xml:space="preserve"> photometry of a point source goal (and specification)</w:t>
            </w:r>
            <w:r w:rsidR="001925A6">
              <w:rPr>
                <w:sz w:val="20"/>
                <w:szCs w:val="20"/>
              </w:rPr>
              <w:t xml:space="preserve"> ; part that comes in addition to the calibrator model uncertainty</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vAlign w:val="center"/>
          </w:tcPr>
          <w:p w:rsidR="005A6215" w:rsidRDefault="005A6215" w:rsidP="00867C1A">
            <w:pPr>
              <w:jc w:val="center"/>
            </w:pPr>
            <w:r>
              <w:rPr>
                <w:sz w:val="20"/>
              </w:rPr>
              <w:t>3% (5%)</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jc w:val="center"/>
              <w:rPr>
                <w:color w:val="808080" w:themeColor="background1" w:themeShade="80"/>
                <w:sz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BE1673" w:rsidRDefault="005A6215" w:rsidP="00BE1673">
            <w:pPr>
              <w:spacing w:before="120" w:after="120"/>
              <w:rPr>
                <w:color w:val="00B0F0"/>
                <w:sz w:val="20"/>
              </w:rPr>
            </w:pPr>
            <w:r>
              <w:rPr>
                <w:color w:val="00B0F0"/>
                <w:sz w:val="20"/>
                <w:szCs w:val="20"/>
              </w:rPr>
              <w:t>Relative</w:t>
            </w:r>
            <w:r w:rsidRPr="00BE1673">
              <w:rPr>
                <w:color w:val="00B0F0"/>
                <w:sz w:val="20"/>
                <w:szCs w:val="20"/>
              </w:rPr>
              <w:t xml:space="preserve"> photometry of a point source measured</w:t>
            </w:r>
            <w:r w:rsidR="001925A6">
              <w:rPr>
                <w:color w:val="00B0F0"/>
                <w:sz w:val="20"/>
                <w:szCs w:val="20"/>
              </w:rPr>
              <w:t xml:space="preserve"> in addition to the calibrator model uncertainty         </w:t>
            </w:r>
            <w:r w:rsidR="001925A6" w:rsidRPr="00204DCF">
              <w:rPr>
                <w:b/>
                <w:color w:val="00B050"/>
                <w:sz w:val="20"/>
                <w:szCs w:val="20"/>
              </w:rPr>
              <w:t xml:space="preserve">{p. </w:t>
            </w:r>
            <w:r w:rsidR="001925A6">
              <w:rPr>
                <w:b/>
                <w:color w:val="00B050"/>
                <w:sz w:val="20"/>
                <w:szCs w:val="20"/>
              </w:rPr>
              <w:t>36-41 tbc</w:t>
            </w:r>
            <w:r w:rsidR="001925A6"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~5%</w:t>
            </w:r>
            <w:r>
              <w:rPr>
                <w:color w:val="00B0F0"/>
                <w:sz w:val="20"/>
              </w:rPr>
              <w:t xml:space="preserve"> (tbc)</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~5%</w:t>
            </w:r>
            <w:r>
              <w:rPr>
                <w:color w:val="00B0F0"/>
                <w:sz w:val="20"/>
              </w:rPr>
              <w:t xml:space="preserve"> (tbc)</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44E0B" w:rsidRDefault="005A6215" w:rsidP="00BE1673">
            <w:pPr>
              <w:spacing w:before="120" w:after="120"/>
              <w:rPr>
                <w:sz w:val="20"/>
              </w:rPr>
            </w:pPr>
            <w:r>
              <w:rPr>
                <w:sz w:val="20"/>
              </w:rPr>
              <w:t>Polarization</w:t>
            </w:r>
            <w:r>
              <w:rPr>
                <w:sz w:val="20"/>
                <w:vertAlign w:val="superscript"/>
              </w:rPr>
              <w:t>(3)</w:t>
            </w:r>
            <w:r>
              <w:rPr>
                <w:sz w:val="20"/>
              </w:rPr>
              <w:t xml:space="preserve"> sensitivity for the Q and U Stokes parameters, goal (specification)</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A44E0B" w:rsidRDefault="005A6215" w:rsidP="00867C1A">
            <w:pPr>
              <w:spacing w:before="120" w:after="120"/>
              <w:jc w:val="center"/>
              <w:rPr>
                <w:sz w:val="20"/>
              </w:rPr>
            </w:pPr>
            <w:r w:rsidRPr="00BE1673">
              <w:rPr>
                <w:sz w:val="20"/>
              </w:rPr>
              <w:t>2×</w:t>
            </w:r>
            <w:r>
              <w:rPr>
                <w:sz w:val="20"/>
              </w:rPr>
              <w:t xml:space="preserve"> (3</w:t>
            </w:r>
            <w:r w:rsidRPr="00BE1673">
              <w:rPr>
                <w:sz w:val="20"/>
              </w:rPr>
              <w:t>×</w:t>
            </w:r>
            <w:r>
              <w:rPr>
                <w:sz w:val="20"/>
              </w:rPr>
              <w:t>) N</w:t>
            </w:r>
            <w:r w:rsidRPr="00BE1673">
              <w:rPr>
                <w:sz w:val="20"/>
              </w:rPr>
              <w:t>EFDI</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96573" w:rsidRPr="00AE49E6" w:rsidTr="007E051E">
        <w:trPr>
          <w:jc w:val="center"/>
        </w:trPr>
        <w:tc>
          <w:tcPr>
            <w:tcW w:w="6192" w:type="dxa"/>
            <w:tcBorders>
              <w:top w:val="single" w:sz="6" w:space="0" w:color="000001"/>
              <w:left w:val="single" w:sz="18" w:space="0" w:color="000001"/>
              <w:bottom w:val="single" w:sz="18" w:space="0" w:color="000001"/>
              <w:right w:val="single" w:sz="6" w:space="0" w:color="000001"/>
            </w:tcBorders>
            <w:shd w:val="clear" w:color="auto" w:fill="FFFFFF"/>
            <w:tcMar>
              <w:left w:w="82" w:type="dxa"/>
            </w:tcMar>
          </w:tcPr>
          <w:p w:rsidR="00596573" w:rsidRPr="00A44E0B" w:rsidRDefault="00596573" w:rsidP="00BE1673">
            <w:pPr>
              <w:spacing w:before="120" w:after="120"/>
              <w:rPr>
                <w:color w:val="FF0000"/>
                <w:sz w:val="20"/>
                <w:szCs w:val="17"/>
              </w:rPr>
            </w:pPr>
            <w:r w:rsidRPr="00BE1673">
              <w:rPr>
                <w:color w:val="00B0F0"/>
                <w:sz w:val="20"/>
              </w:rPr>
              <w:t>Polarization</w:t>
            </w:r>
            <w:r w:rsidRPr="00C341EE">
              <w:rPr>
                <w:color w:val="00B0F0"/>
                <w:sz w:val="20"/>
                <w:vertAlign w:val="superscript"/>
              </w:rPr>
              <w:t>(3)</w:t>
            </w:r>
            <w:r w:rsidRPr="00C341EE">
              <w:rPr>
                <w:color w:val="00B0F0"/>
                <w:sz w:val="20"/>
              </w:rPr>
              <w:t xml:space="preserve"> </w:t>
            </w:r>
            <w:r w:rsidRPr="00BE1673">
              <w:rPr>
                <w:color w:val="00B0F0"/>
                <w:sz w:val="20"/>
              </w:rPr>
              <w:t>sensitivity for the Q and U Stokes parameters measured</w:t>
            </w:r>
          </w:p>
        </w:tc>
        <w:tc>
          <w:tcPr>
            <w:tcW w:w="4299" w:type="dxa"/>
            <w:gridSpan w:val="4"/>
            <w:tcBorders>
              <w:top w:val="single" w:sz="6" w:space="0" w:color="000001"/>
              <w:left w:val="single" w:sz="6" w:space="0" w:color="000001"/>
              <w:bottom w:val="single" w:sz="18" w:space="0" w:color="000001"/>
              <w:right w:val="single" w:sz="18" w:space="0" w:color="000001"/>
            </w:tcBorders>
            <w:shd w:val="clear" w:color="auto" w:fill="FFFFFF"/>
            <w:tcMar>
              <w:left w:w="112" w:type="dxa"/>
            </w:tcMar>
          </w:tcPr>
          <w:p w:rsidR="00596573" w:rsidRPr="00C50973" w:rsidRDefault="00596573" w:rsidP="00867C1A">
            <w:pPr>
              <w:spacing w:before="120" w:after="120"/>
              <w:jc w:val="center"/>
              <w:rPr>
                <w:color w:val="808080" w:themeColor="background1" w:themeShade="80"/>
                <w:sz w:val="20"/>
                <w:szCs w:val="20"/>
              </w:rPr>
            </w:pPr>
            <w:r w:rsidRPr="00977513">
              <w:rPr>
                <w:rFonts w:eastAsia="Arial Unicode MS"/>
                <w:color w:val="31849B" w:themeColor="accent5" w:themeShade="BF"/>
                <w:sz w:val="20"/>
                <w:lang w:val="en-GB"/>
              </w:rPr>
              <w:t>Not necessary for phase 1 review</w:t>
            </w:r>
          </w:p>
        </w:tc>
      </w:tr>
    </w:tbl>
    <w:p w:rsidR="00D02107" w:rsidRDefault="00D02107" w:rsidP="00AE49E6">
      <w:pPr>
        <w:rPr>
          <w:sz w:val="20"/>
          <w:vertAlign w:val="superscript"/>
        </w:rPr>
      </w:pPr>
    </w:p>
    <w:p w:rsidR="00C341EE" w:rsidRDefault="00D02107" w:rsidP="00AE49E6">
      <w:pPr>
        <w:rPr>
          <w:rFonts w:asciiTheme="minorHAnsi" w:hAnsiTheme="minorHAnsi"/>
          <w:sz w:val="20"/>
          <w:szCs w:val="20"/>
        </w:rPr>
      </w:pPr>
      <w:r w:rsidRPr="00D02107">
        <w:rPr>
          <w:rFonts w:asciiTheme="minorHAnsi" w:hAnsiTheme="minorHAnsi"/>
          <w:sz w:val="20"/>
          <w:szCs w:val="20"/>
          <w:vertAlign w:val="superscript"/>
        </w:rPr>
        <w:t>(2)</w:t>
      </w:r>
      <w:r w:rsidRPr="00D02107">
        <w:rPr>
          <w:rFonts w:asciiTheme="minorHAnsi" w:hAnsiTheme="minorHAnsi"/>
          <w:sz w:val="20"/>
          <w:szCs w:val="20"/>
        </w:rPr>
        <w:t xml:space="preserve"> </w:t>
      </w:r>
      <w:r w:rsidR="00C341EE">
        <w:rPr>
          <w:rFonts w:asciiTheme="minorHAnsi" w:hAnsiTheme="minorHAnsi"/>
          <w:sz w:val="20"/>
          <w:szCs w:val="20"/>
        </w:rPr>
        <w:t xml:space="preserve">The bandwidth is not part of the MoU requirement per say, though NIKA2 is presented as a continuum instrument filling the atmospheric windows available at Pico </w:t>
      </w:r>
      <w:proofErr w:type="spellStart"/>
      <w:r w:rsidR="00C341EE">
        <w:rPr>
          <w:rFonts w:asciiTheme="minorHAnsi" w:hAnsiTheme="minorHAnsi"/>
          <w:sz w:val="20"/>
          <w:szCs w:val="20"/>
        </w:rPr>
        <w:t>Veleta</w:t>
      </w:r>
      <w:proofErr w:type="spellEnd"/>
      <w:r w:rsidR="00C341EE">
        <w:rPr>
          <w:rFonts w:asciiTheme="minorHAnsi" w:hAnsiTheme="minorHAnsi"/>
          <w:sz w:val="20"/>
          <w:szCs w:val="20"/>
        </w:rPr>
        <w:t>; the indicative values translate into quantified values this notion of filling window, and the measured effective bandwidth</w:t>
      </w:r>
      <w:r w:rsidR="00121D35">
        <w:rPr>
          <w:rFonts w:asciiTheme="minorHAnsi" w:hAnsiTheme="minorHAnsi"/>
          <w:sz w:val="20"/>
          <w:szCs w:val="20"/>
        </w:rPr>
        <w:t>, which can be 10-30% smaller, are not acceptance criteria but an indication that the instrument spectra must be characterized.</w:t>
      </w:r>
    </w:p>
    <w:p w:rsidR="009E2104" w:rsidRDefault="00C341EE" w:rsidP="00AE49E6">
      <w:pPr>
        <w:rPr>
          <w:rFonts w:asciiTheme="minorHAnsi" w:hAnsiTheme="minorHAnsi"/>
          <w:sz w:val="20"/>
          <w:szCs w:val="20"/>
        </w:rPr>
      </w:pPr>
      <w:r>
        <w:rPr>
          <w:rFonts w:asciiTheme="minorHAnsi" w:hAnsiTheme="minorHAnsi"/>
          <w:sz w:val="20"/>
          <w:szCs w:val="20"/>
          <w:vertAlign w:val="superscript"/>
        </w:rPr>
        <w:t>(3)</w:t>
      </w:r>
      <w:r>
        <w:rPr>
          <w:rFonts w:asciiTheme="minorHAnsi" w:hAnsiTheme="minorHAnsi"/>
          <w:sz w:val="20"/>
          <w:szCs w:val="20"/>
        </w:rPr>
        <w:t xml:space="preserve"> </w:t>
      </w:r>
      <w:r w:rsidR="00D02107" w:rsidRPr="00D02107">
        <w:rPr>
          <w:rFonts w:asciiTheme="minorHAnsi" w:hAnsiTheme="minorHAnsi"/>
          <w:sz w:val="20"/>
          <w:szCs w:val="20"/>
        </w:rPr>
        <w:t>The polarization characteristics of the instrument are not part of the phase 1 of commissioning.</w:t>
      </w:r>
      <w:r w:rsidR="00D02107">
        <w:rPr>
          <w:rFonts w:asciiTheme="minorHAnsi" w:hAnsiTheme="minorHAnsi"/>
          <w:sz w:val="20"/>
          <w:szCs w:val="20"/>
        </w:rPr>
        <w:t xml:space="preserve"> But they will have to be part of the phase 2.</w:t>
      </w:r>
    </w:p>
    <w:p w:rsidR="00791FD1" w:rsidRDefault="00791FD1" w:rsidP="00AE49E6">
      <w:pPr>
        <w:rPr>
          <w:rFonts w:asciiTheme="minorHAnsi" w:hAnsiTheme="minorHAnsi"/>
          <w:sz w:val="20"/>
          <w:szCs w:val="20"/>
        </w:rPr>
      </w:pPr>
      <w:r>
        <w:rPr>
          <w:rFonts w:asciiTheme="minorHAnsi" w:hAnsiTheme="minorHAnsi"/>
          <w:sz w:val="20"/>
          <w:szCs w:val="20"/>
          <w:vertAlign w:val="superscript"/>
        </w:rPr>
        <w:t>(4)</w:t>
      </w:r>
      <w:r>
        <w:rPr>
          <w:rFonts w:asciiTheme="minorHAnsi" w:hAnsiTheme="minorHAnsi"/>
          <w:sz w:val="20"/>
          <w:szCs w:val="20"/>
        </w:rPr>
        <w:t xml:space="preserve"> See Figure </w:t>
      </w:r>
      <w:r w:rsidR="00F64D00">
        <w:rPr>
          <w:rFonts w:asciiTheme="minorHAnsi" w:hAnsiTheme="minorHAnsi"/>
          <w:sz w:val="20"/>
          <w:szCs w:val="20"/>
        </w:rPr>
        <w:t xml:space="preserve">42 of ref document (NEFD </w:t>
      </w:r>
      <w:proofErr w:type="spellStart"/>
      <w:r w:rsidR="00F64D00">
        <w:rPr>
          <w:rFonts w:asciiTheme="minorHAnsi" w:hAnsiTheme="minorHAnsi"/>
          <w:sz w:val="20"/>
          <w:szCs w:val="20"/>
        </w:rPr>
        <w:t>astro</w:t>
      </w:r>
      <w:proofErr w:type="spellEnd"/>
      <w:r w:rsidR="00F64D00">
        <w:rPr>
          <w:rFonts w:asciiTheme="minorHAnsi" w:hAnsiTheme="minorHAnsi"/>
          <w:sz w:val="20"/>
          <w:szCs w:val="20"/>
        </w:rPr>
        <w:t xml:space="preserve"> vs tau/</w:t>
      </w:r>
      <w:proofErr w:type="gramStart"/>
      <w:r w:rsidR="00F64D00">
        <w:rPr>
          <w:rFonts w:asciiTheme="minorHAnsi" w:hAnsiTheme="minorHAnsi"/>
          <w:sz w:val="20"/>
          <w:szCs w:val="20"/>
        </w:rPr>
        <w:t>sin(</w:t>
      </w:r>
      <w:proofErr w:type="gramEnd"/>
      <w:r w:rsidR="00F64D00">
        <w:rPr>
          <w:rFonts w:asciiTheme="minorHAnsi" w:hAnsiTheme="minorHAnsi"/>
          <w:sz w:val="20"/>
          <w:szCs w:val="20"/>
        </w:rPr>
        <w:t>el)</w:t>
      </w:r>
      <w:r>
        <w:rPr>
          <w:rFonts w:asciiTheme="minorHAnsi" w:hAnsiTheme="minorHAnsi"/>
          <w:sz w:val="20"/>
          <w:szCs w:val="20"/>
        </w:rPr>
        <w:t>)</w:t>
      </w:r>
      <w:r w:rsidR="00F64D00">
        <w:rPr>
          <w:rFonts w:asciiTheme="minorHAnsi" w:hAnsiTheme="minorHAnsi"/>
          <w:sz w:val="20"/>
          <w:szCs w:val="20"/>
        </w:rPr>
        <w:t xml:space="preserve"> as a better reference characteristic than the 2 values given in the secondary table</w:t>
      </w:r>
      <w:r>
        <w:rPr>
          <w:rFonts w:asciiTheme="minorHAnsi" w:hAnsiTheme="minorHAnsi"/>
          <w:sz w:val="20"/>
          <w:szCs w:val="20"/>
        </w:rPr>
        <w:t>.</w:t>
      </w:r>
    </w:p>
    <w:p w:rsidR="00F64D00" w:rsidRPr="00791FD1" w:rsidRDefault="00F64D00" w:rsidP="00AE49E6">
      <w:pPr>
        <w:rPr>
          <w:rFonts w:asciiTheme="minorHAnsi" w:hAnsiTheme="minorHAnsi"/>
          <w:sz w:val="20"/>
          <w:szCs w:val="20"/>
        </w:rPr>
      </w:pPr>
    </w:p>
    <w:p w:rsidR="007A335D" w:rsidRDefault="007A335D" w:rsidP="007A335D">
      <w:pPr>
        <w:pStyle w:val="Titre2"/>
        <w:rPr>
          <w:lang w:val="en-GB"/>
        </w:rPr>
      </w:pPr>
      <w:r>
        <w:rPr>
          <w:lang w:val="en-GB"/>
        </w:rPr>
        <w:lastRenderedPageBreak/>
        <w:t>Tertiary table</w:t>
      </w:r>
    </w:p>
    <w:p w:rsidR="007A335D" w:rsidRPr="00854CB9" w:rsidRDefault="007A335D" w:rsidP="007A335D">
      <w:pPr>
        <w:rPr>
          <w:rFonts w:ascii="Calibri" w:eastAsia="Arial Unicode MS" w:hAnsi="Calibri" w:cs="Tahoma"/>
          <w:sz w:val="20"/>
        </w:rPr>
      </w:pPr>
      <w:r>
        <w:rPr>
          <w:rFonts w:ascii="Calibri" w:eastAsia="Arial Unicode MS" w:hAnsi="Calibri" w:cs="Tahoma"/>
          <w:sz w:val="20"/>
          <w:lang w:val="en-GB"/>
        </w:rPr>
        <w:t xml:space="preserve">The following table is constructed from the </w:t>
      </w:r>
      <w:r w:rsidR="00854CB9">
        <w:rPr>
          <w:rFonts w:ascii="Calibri" w:eastAsia="Arial Unicode MS" w:hAnsi="Calibri" w:cs="Tahoma"/>
          <w:sz w:val="20"/>
          <w:lang w:val="en-GB"/>
        </w:rPr>
        <w:t xml:space="preserve">characterization plan and </w:t>
      </w:r>
      <w:r>
        <w:rPr>
          <w:rFonts w:ascii="Calibri" w:eastAsia="Arial Unicode MS" w:hAnsi="Calibri" w:cs="Tahoma"/>
          <w:sz w:val="20"/>
          <w:lang w:val="en-GB"/>
        </w:rPr>
        <w:t>various outcomes of data processing after one year of test runs</w:t>
      </w:r>
      <w:r w:rsidR="00854CB9">
        <w:rPr>
          <w:rFonts w:ascii="Calibri" w:eastAsia="Arial Unicode MS" w:hAnsi="Calibri" w:cs="Tahoma"/>
          <w:sz w:val="20"/>
          <w:lang w:val="en-GB"/>
        </w:rPr>
        <w:t>.</w:t>
      </w:r>
      <w:r w:rsidR="00854CB9" w:rsidRPr="00854CB9">
        <w:rPr>
          <w:rFonts w:ascii="Calibri" w:eastAsia="Arial Unicode MS" w:hAnsi="Calibri" w:cs="Tahoma"/>
          <w:sz w:val="20"/>
        </w:rPr>
        <w:t xml:space="preserve"> </w:t>
      </w:r>
      <w:r w:rsidR="00EF1BBA">
        <w:rPr>
          <w:rFonts w:ascii="Calibri" w:eastAsia="Arial Unicode MS" w:hAnsi="Calibri" w:cs="Tahoma"/>
          <w:sz w:val="20"/>
        </w:rPr>
        <w:t xml:space="preserve">The following characteristics don’t need to meet a special </w:t>
      </w:r>
      <w:r w:rsidR="00A45C81">
        <w:rPr>
          <w:rFonts w:ascii="Calibri" w:eastAsia="Arial Unicode MS" w:hAnsi="Calibri" w:cs="Tahoma"/>
          <w:sz w:val="20"/>
        </w:rPr>
        <w:t>requirement;</w:t>
      </w:r>
      <w:r w:rsidR="00EF1BBA">
        <w:rPr>
          <w:rFonts w:ascii="Calibri" w:eastAsia="Arial Unicode MS" w:hAnsi="Calibri" w:cs="Tahoma"/>
          <w:sz w:val="20"/>
        </w:rPr>
        <w:t xml:space="preserve"> </w:t>
      </w:r>
      <w:r w:rsidR="00660865">
        <w:rPr>
          <w:rFonts w:ascii="Calibri" w:eastAsia="Arial Unicode MS" w:hAnsi="Calibri" w:cs="Tahoma"/>
          <w:sz w:val="20"/>
        </w:rPr>
        <w:t>however the</w:t>
      </w:r>
      <w:r w:rsidR="00A45C81">
        <w:rPr>
          <w:rFonts w:ascii="Calibri" w:eastAsia="Arial Unicode MS" w:hAnsi="Calibri" w:cs="Tahoma"/>
          <w:sz w:val="20"/>
        </w:rPr>
        <w:t xml:space="preserve"> </w:t>
      </w:r>
      <w:r w:rsidR="00660865" w:rsidRPr="00660865">
        <w:rPr>
          <w:rFonts w:ascii="Calibri" w:eastAsia="Arial Unicode MS" w:hAnsi="Calibri" w:cs="Tahoma"/>
          <w:sz w:val="20"/>
        </w:rPr>
        <w:t>current status of the analysis need to be given and a plan to address these items devised</w:t>
      </w:r>
      <w:r w:rsidR="00EF1BBA">
        <w:rPr>
          <w:rFonts w:ascii="Calibri" w:eastAsia="Arial Unicode MS" w:hAnsi="Calibri" w:cs="Tahoma"/>
          <w:sz w:val="20"/>
        </w:rPr>
        <w:t>.</w:t>
      </w:r>
      <w:r w:rsidR="00A45C81">
        <w:rPr>
          <w:rFonts w:ascii="Calibri" w:eastAsia="Arial Unicode MS" w:hAnsi="Calibri" w:cs="Tahoma"/>
          <w:sz w:val="20"/>
        </w:rPr>
        <w:t xml:space="preserve"> Some </w:t>
      </w:r>
      <w:r w:rsidR="00660865">
        <w:rPr>
          <w:rFonts w:ascii="Calibri" w:eastAsia="Arial Unicode MS" w:hAnsi="Calibri" w:cs="Tahoma"/>
          <w:sz w:val="20"/>
        </w:rPr>
        <w:t xml:space="preserve">items </w:t>
      </w:r>
      <w:r w:rsidR="00A45C81">
        <w:rPr>
          <w:rFonts w:ascii="Calibri" w:eastAsia="Arial Unicode MS" w:hAnsi="Calibri" w:cs="Tahoma"/>
          <w:sz w:val="20"/>
        </w:rPr>
        <w:t>can be seen as landmarks toward possible future upgrades.</w:t>
      </w:r>
    </w:p>
    <w:p w:rsidR="00854CB9" w:rsidRPr="00854CB9" w:rsidRDefault="00854CB9" w:rsidP="007A335D">
      <w:pPr>
        <w:rPr>
          <w:rFonts w:ascii="Calibri" w:eastAsia="Arial Unicode MS" w:hAnsi="Calibri" w:cs="Tahoma"/>
          <w:sz w:val="20"/>
        </w:rPr>
      </w:pPr>
    </w:p>
    <w:tbl>
      <w:tblPr>
        <w:tblStyle w:val="Grilledutableau"/>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88"/>
        <w:gridCol w:w="1417"/>
        <w:gridCol w:w="1985"/>
      </w:tblGrid>
      <w:tr w:rsidR="00854CB9" w:rsidTr="00697133">
        <w:tc>
          <w:tcPr>
            <w:tcW w:w="7088" w:type="dxa"/>
          </w:tcPr>
          <w:p w:rsidR="00854CB9" w:rsidRPr="00E41FE5" w:rsidRDefault="00252CC2" w:rsidP="00252CC2">
            <w:pPr>
              <w:rPr>
                <w:rFonts w:eastAsia="Arial Unicode MS"/>
                <w:b/>
                <w:sz w:val="20"/>
              </w:rPr>
            </w:pPr>
            <w:r w:rsidRPr="00E41FE5">
              <w:rPr>
                <w:rFonts w:eastAsia="Arial Unicode MS"/>
                <w:b/>
                <w:sz w:val="20"/>
              </w:rPr>
              <w:t>Characteristic description</w:t>
            </w:r>
          </w:p>
        </w:tc>
        <w:tc>
          <w:tcPr>
            <w:tcW w:w="1417" w:type="dxa"/>
          </w:tcPr>
          <w:p w:rsidR="00BA631B" w:rsidRPr="00E41FE5" w:rsidRDefault="00BA631B" w:rsidP="00AE49E6">
            <w:pPr>
              <w:rPr>
                <w:rFonts w:eastAsia="Arial Unicode MS"/>
                <w:b/>
                <w:sz w:val="20"/>
                <w:lang w:val="en-GB"/>
              </w:rPr>
            </w:pPr>
            <w:r w:rsidRPr="001925A6">
              <w:rPr>
                <w:rFonts w:eastAsia="Arial Unicode MS"/>
                <w:b/>
                <w:sz w:val="20"/>
                <w:lang w:val="en-GB"/>
              </w:rPr>
              <w:t>Indicative values</w:t>
            </w:r>
            <w:r w:rsidRPr="001925A6">
              <w:rPr>
                <w:rFonts w:eastAsia="Arial Unicode MS"/>
                <w:b/>
                <w:sz w:val="20"/>
                <w:vertAlign w:val="superscript"/>
                <w:lang w:val="en-GB"/>
              </w:rPr>
              <w:t>(8)</w:t>
            </w:r>
          </w:p>
        </w:tc>
        <w:tc>
          <w:tcPr>
            <w:tcW w:w="1985" w:type="dxa"/>
          </w:tcPr>
          <w:p w:rsidR="00854CB9" w:rsidRPr="00E41FE5" w:rsidRDefault="00854CB9" w:rsidP="00AE49E6">
            <w:pPr>
              <w:rPr>
                <w:rFonts w:eastAsia="Arial Unicode MS"/>
                <w:b/>
                <w:sz w:val="20"/>
                <w:lang w:val="en-GB"/>
              </w:rPr>
            </w:pPr>
            <w:r w:rsidRPr="00E41FE5">
              <w:rPr>
                <w:rFonts w:eastAsia="Arial Unicode MS"/>
                <w:b/>
                <w:sz w:val="20"/>
                <w:lang w:val="en-GB"/>
              </w:rPr>
              <w:t>Actual value</w:t>
            </w:r>
          </w:p>
        </w:tc>
      </w:tr>
      <w:tr w:rsidR="00854CB9" w:rsidTr="00697133">
        <w:tc>
          <w:tcPr>
            <w:tcW w:w="7088" w:type="dxa"/>
          </w:tcPr>
          <w:p w:rsidR="0055782B" w:rsidRPr="0055782B" w:rsidRDefault="00854CB9" w:rsidP="00465C82">
            <w:pPr>
              <w:rPr>
                <w:rFonts w:eastAsia="Arial Unicode MS"/>
                <w:b/>
                <w:sz w:val="20"/>
              </w:rPr>
            </w:pPr>
            <w:r w:rsidRPr="00E41FE5">
              <w:rPr>
                <w:rFonts w:eastAsia="Arial Unicode MS"/>
                <w:sz w:val="20"/>
              </w:rPr>
              <w:t>Synchronization between instrument and scan information</w:t>
            </w:r>
            <w:r w:rsidR="001925A6">
              <w:rPr>
                <w:rFonts w:eastAsia="Arial Unicode MS"/>
                <w:sz w:val="20"/>
              </w:rPr>
              <w:t xml:space="preserve"> (delays </w:t>
            </w:r>
            <w:r w:rsidR="00465C82">
              <w:rPr>
                <w:rFonts w:eastAsia="Arial Unicode MS"/>
                <w:sz w:val="20"/>
              </w:rPr>
              <w:t>of Elvin messages</w:t>
            </w:r>
            <w:r w:rsidR="001925A6">
              <w:rPr>
                <w:rFonts w:eastAsia="Arial Unicode MS"/>
                <w:sz w:val="20"/>
              </w:rPr>
              <w:t>)</w:t>
            </w:r>
          </w:p>
        </w:tc>
        <w:tc>
          <w:tcPr>
            <w:tcW w:w="1417" w:type="dxa"/>
          </w:tcPr>
          <w:p w:rsidR="00854CB9" w:rsidRPr="00E41FE5" w:rsidRDefault="00854CB9" w:rsidP="00AE49E6">
            <w:pPr>
              <w:rPr>
                <w:rFonts w:eastAsia="Arial Unicode MS"/>
                <w:sz w:val="20"/>
                <w:lang w:val="en-GB"/>
              </w:rPr>
            </w:pPr>
            <w:r w:rsidRPr="00E41FE5">
              <w:rPr>
                <w:rFonts w:eastAsia="Arial Unicode MS"/>
                <w:sz w:val="20"/>
              </w:rPr>
              <w:t xml:space="preserve">&lt; 100 </w:t>
            </w:r>
            <w:proofErr w:type="spellStart"/>
            <w:r w:rsidRPr="00E41FE5">
              <w:rPr>
                <w:rFonts w:eastAsia="Arial Unicode MS"/>
                <w:sz w:val="20"/>
              </w:rPr>
              <w:t>ms</w:t>
            </w:r>
            <w:proofErr w:type="spellEnd"/>
          </w:p>
        </w:tc>
        <w:tc>
          <w:tcPr>
            <w:tcW w:w="1985" w:type="dxa"/>
          </w:tcPr>
          <w:p w:rsidR="00854CB9" w:rsidRPr="00E41FE5" w:rsidRDefault="001925A6" w:rsidP="00227AE9">
            <w:pPr>
              <w:rPr>
                <w:rFonts w:eastAsia="Arial Unicode MS"/>
                <w:sz w:val="20"/>
                <w:lang w:val="en-GB"/>
              </w:rPr>
            </w:pPr>
            <w:r w:rsidRPr="00227AE9">
              <w:rPr>
                <w:rFonts w:eastAsia="Arial Unicode MS"/>
                <w:color w:val="00B0F0"/>
                <w:sz w:val="20"/>
                <w:lang w:val="en-GB"/>
              </w:rPr>
              <w:t>&lt;10</w:t>
            </w:r>
            <w:r w:rsidR="00227AE9" w:rsidRPr="00227AE9">
              <w:rPr>
                <w:rFonts w:eastAsia="Arial Unicode MS"/>
                <w:color w:val="00B0F0"/>
                <w:sz w:val="20"/>
                <w:lang w:val="en-GB"/>
              </w:rPr>
              <w:t xml:space="preserve"> </w:t>
            </w:r>
            <w:proofErr w:type="spellStart"/>
            <w:r w:rsidRPr="00227AE9">
              <w:rPr>
                <w:rFonts w:eastAsia="Arial Unicode MS"/>
                <w:color w:val="00B0F0"/>
                <w:sz w:val="20"/>
                <w:lang w:val="en-GB"/>
              </w:rPr>
              <w:t>ms</w:t>
            </w:r>
            <w:proofErr w:type="spellEnd"/>
            <w:r w:rsidRPr="00227AE9">
              <w:rPr>
                <w:rFonts w:eastAsia="Arial Unicode MS"/>
                <w:color w:val="00B0F0"/>
                <w:sz w:val="20"/>
                <w:lang w:val="en-GB"/>
              </w:rPr>
              <w:t xml:space="preserve"> </w:t>
            </w:r>
            <w:r w:rsidR="00A45C81">
              <w:rPr>
                <w:rFonts w:eastAsia="Arial Unicode MS"/>
                <w:color w:val="00B0F0"/>
                <w:sz w:val="20"/>
                <w:lang w:val="en-GB"/>
              </w:rPr>
              <w:t>&gt;</w:t>
            </w:r>
            <w:r w:rsidR="00227AE9" w:rsidRPr="00227AE9">
              <w:rPr>
                <w:rFonts w:eastAsia="Arial Unicode MS"/>
                <w:color w:val="00B0F0"/>
                <w:sz w:val="20"/>
                <w:lang w:val="en-GB"/>
              </w:rPr>
              <w:t xml:space="preserve">99% of the time, but few 100s </w:t>
            </w:r>
            <w:proofErr w:type="spellStart"/>
            <w:r w:rsidR="00227AE9" w:rsidRPr="00227AE9">
              <w:rPr>
                <w:rFonts w:eastAsia="Arial Unicode MS"/>
                <w:color w:val="00B0F0"/>
                <w:sz w:val="20"/>
                <w:lang w:val="en-GB"/>
              </w:rPr>
              <w:t>ms</w:t>
            </w:r>
            <w:proofErr w:type="spellEnd"/>
            <w:r w:rsidR="00227AE9" w:rsidRPr="00227AE9">
              <w:rPr>
                <w:rFonts w:eastAsia="Arial Unicode MS"/>
                <w:color w:val="00B0F0"/>
                <w:sz w:val="20"/>
                <w:lang w:val="en-GB"/>
              </w:rPr>
              <w:t xml:space="preserve"> </w:t>
            </w:r>
            <w:r w:rsidR="00A45C81">
              <w:rPr>
                <w:rFonts w:eastAsia="Arial Unicode MS"/>
                <w:color w:val="00B0F0"/>
                <w:sz w:val="20"/>
                <w:lang w:val="en-GB"/>
              </w:rPr>
              <w:t>occasionally</w:t>
            </w:r>
          </w:p>
        </w:tc>
      </w:tr>
      <w:tr w:rsidR="00854CB9" w:rsidTr="00697133">
        <w:tc>
          <w:tcPr>
            <w:tcW w:w="7088" w:type="dxa"/>
          </w:tcPr>
          <w:p w:rsidR="00854CB9" w:rsidRDefault="00854CB9" w:rsidP="00867C1A">
            <w:pPr>
              <w:rPr>
                <w:rFonts w:eastAsia="Arial Unicode MS"/>
                <w:sz w:val="20"/>
              </w:rPr>
            </w:pPr>
            <w:r w:rsidRPr="00E41FE5">
              <w:rPr>
                <w:rFonts w:eastAsia="Arial Unicode MS"/>
                <w:sz w:val="20"/>
              </w:rPr>
              <w:t>Synchronization between instrument and telescope coordinates</w:t>
            </w:r>
          </w:p>
          <w:p w:rsidR="0055782B" w:rsidRPr="00227AE9" w:rsidRDefault="00227AE9" w:rsidP="00227AE9">
            <w:pPr>
              <w:rPr>
                <w:rFonts w:eastAsia="Arial Unicode MS"/>
                <w:i/>
                <w:sz w:val="20"/>
              </w:rPr>
            </w:pPr>
            <w:r w:rsidRPr="00227AE9">
              <w:rPr>
                <w:rFonts w:eastAsia="Arial Unicode MS"/>
                <w:i/>
                <w:sz w:val="20"/>
              </w:rPr>
              <w:t>(for information with</w:t>
            </w:r>
            <w:r w:rsidR="00465C82">
              <w:rPr>
                <w:rFonts w:eastAsia="Arial Unicode MS"/>
                <w:i/>
                <w:sz w:val="20"/>
              </w:rPr>
              <w:t xml:space="preserve"> acquisition rate = 23 Hz,</w:t>
            </w:r>
            <w:r w:rsidRPr="00227AE9">
              <w:rPr>
                <w:rFonts w:eastAsia="Arial Unicode MS"/>
                <w:i/>
                <w:sz w:val="20"/>
              </w:rPr>
              <w:t xml:space="preserve"> sample duration = 43 </w:t>
            </w:r>
            <w:proofErr w:type="spellStart"/>
            <w:r w:rsidRPr="00227AE9">
              <w:rPr>
                <w:rFonts w:eastAsia="Arial Unicode MS"/>
                <w:i/>
                <w:sz w:val="20"/>
              </w:rPr>
              <w:t>ms</w:t>
            </w:r>
            <w:proofErr w:type="spellEnd"/>
            <w:r w:rsidRPr="00227AE9">
              <w:rPr>
                <w:rFonts w:eastAsia="Arial Unicode MS"/>
                <w:i/>
                <w:sz w:val="20"/>
              </w:rPr>
              <w:t>)</w:t>
            </w:r>
          </w:p>
        </w:tc>
        <w:tc>
          <w:tcPr>
            <w:tcW w:w="1417" w:type="dxa"/>
          </w:tcPr>
          <w:p w:rsidR="00854CB9" w:rsidRPr="00E41FE5" w:rsidRDefault="00854CB9" w:rsidP="00E41FE5">
            <w:pPr>
              <w:rPr>
                <w:rFonts w:eastAsia="Arial Unicode MS"/>
                <w:sz w:val="20"/>
                <w:lang w:val="en-GB"/>
              </w:rPr>
            </w:pPr>
            <w:r w:rsidRPr="00E41FE5">
              <w:rPr>
                <w:rFonts w:eastAsia="Arial Unicode MS"/>
                <w:sz w:val="20"/>
                <w:lang w:val="en-GB"/>
              </w:rPr>
              <w:t>&lt; 1</w:t>
            </w:r>
            <w:r w:rsidR="00227AE9">
              <w:rPr>
                <w:rFonts w:eastAsia="Arial Unicode MS"/>
                <w:sz w:val="20"/>
                <w:lang w:val="en-GB"/>
              </w:rPr>
              <w:t>0</w:t>
            </w:r>
            <w:r w:rsidRPr="00E41FE5">
              <w:rPr>
                <w:rFonts w:eastAsia="Arial Unicode MS"/>
                <w:sz w:val="20"/>
                <w:lang w:val="en-GB"/>
              </w:rPr>
              <w:t xml:space="preserve">0 </w:t>
            </w:r>
            <w:r w:rsidR="00E41FE5">
              <w:rPr>
                <w:rFonts w:ascii="Symbol" w:eastAsia="Arial Unicode MS" w:hAnsi="Symbol"/>
                <w:sz w:val="20"/>
                <w:lang w:val="en-GB"/>
              </w:rPr>
              <w:t></w:t>
            </w:r>
            <w:r w:rsidRPr="00E41FE5">
              <w:rPr>
                <w:rFonts w:eastAsia="Arial Unicode MS"/>
                <w:sz w:val="20"/>
                <w:lang w:val="en-GB"/>
              </w:rPr>
              <w:t>s</w:t>
            </w:r>
          </w:p>
        </w:tc>
        <w:tc>
          <w:tcPr>
            <w:tcW w:w="1985" w:type="dxa"/>
          </w:tcPr>
          <w:p w:rsidR="00854CB9" w:rsidRPr="00BD1DB9" w:rsidRDefault="002E69FF" w:rsidP="00AE49E6">
            <w:pPr>
              <w:rPr>
                <w:rFonts w:eastAsia="Arial Unicode MS"/>
                <w:sz w:val="20"/>
                <w:vertAlign w:val="superscript"/>
                <w:lang w:val="en-GB"/>
              </w:rPr>
            </w:pPr>
            <w:r w:rsidRPr="00611DAA">
              <w:rPr>
                <w:rFonts w:eastAsia="Arial Unicode MS"/>
                <w:color w:val="00B0F0"/>
                <w:sz w:val="20"/>
                <w:lang w:val="en-GB"/>
              </w:rPr>
              <w:t>26</w:t>
            </w:r>
            <w:r w:rsidR="004369E2" w:rsidRPr="00611DAA">
              <w:rPr>
                <w:rFonts w:eastAsia="Arial Unicode MS"/>
                <w:color w:val="00B0F0"/>
                <w:sz w:val="20"/>
                <w:lang w:val="en-GB"/>
              </w:rPr>
              <w:t xml:space="preserve"> </w:t>
            </w:r>
            <w:r w:rsidR="004369E2" w:rsidRPr="00611DAA">
              <w:rPr>
                <w:rFonts w:ascii="Symbol" w:eastAsia="Arial Unicode MS" w:hAnsi="Symbol"/>
                <w:color w:val="00B0F0"/>
                <w:sz w:val="20"/>
                <w:lang w:val="en-GB"/>
              </w:rPr>
              <w:t></w:t>
            </w:r>
            <w:r w:rsidR="004369E2" w:rsidRPr="00611DAA">
              <w:rPr>
                <w:rFonts w:eastAsia="Arial Unicode MS"/>
                <w:color w:val="00B0F0"/>
                <w:sz w:val="20"/>
                <w:lang w:val="en-GB"/>
              </w:rPr>
              <w:t>s</w:t>
            </w:r>
            <w:r w:rsidR="00BD1DB9" w:rsidRPr="00611DAA">
              <w:rPr>
                <w:rFonts w:eastAsia="Arial Unicode MS"/>
                <w:color w:val="00B0F0"/>
                <w:sz w:val="20"/>
                <w:vertAlign w:val="superscript"/>
                <w:lang w:val="en-GB"/>
              </w:rPr>
              <w:t>(I)</w:t>
            </w:r>
          </w:p>
        </w:tc>
      </w:tr>
      <w:tr w:rsidR="00854CB9" w:rsidTr="00697133">
        <w:tc>
          <w:tcPr>
            <w:tcW w:w="7088" w:type="dxa"/>
          </w:tcPr>
          <w:p w:rsidR="00854CB9" w:rsidRPr="00E41FE5" w:rsidRDefault="00660865" w:rsidP="00660865">
            <w:pPr>
              <w:rPr>
                <w:rFonts w:eastAsia="Arial Unicode MS"/>
                <w:sz w:val="20"/>
              </w:rPr>
            </w:pPr>
            <w:r>
              <w:rPr>
                <w:rFonts w:eastAsia="Arial Unicode MS"/>
                <w:sz w:val="20"/>
              </w:rPr>
              <w:t>Only extra</w:t>
            </w:r>
            <w:r w:rsidR="00227AE9">
              <w:rPr>
                <w:rFonts w:eastAsia="Arial Unicode MS"/>
                <w:sz w:val="20"/>
              </w:rPr>
              <w:t xml:space="preserve"> </w:t>
            </w:r>
            <w:r w:rsidR="00854CB9" w:rsidRPr="00E41FE5">
              <w:rPr>
                <w:rFonts w:eastAsia="Arial Unicode MS"/>
                <w:sz w:val="20"/>
              </w:rPr>
              <w:t xml:space="preserve">overhead </w:t>
            </w:r>
            <w:r w:rsidR="00227AE9">
              <w:rPr>
                <w:rFonts w:eastAsia="Arial Unicode MS"/>
                <w:sz w:val="20"/>
              </w:rPr>
              <w:t>introduced by NIKA2</w:t>
            </w:r>
            <w:r>
              <w:rPr>
                <w:rFonts w:eastAsia="Arial Unicode MS"/>
                <w:sz w:val="20"/>
              </w:rPr>
              <w:t xml:space="preserve">: tuning </w:t>
            </w:r>
            <w:proofErr w:type="spellStart"/>
            <w:r>
              <w:rPr>
                <w:rFonts w:eastAsia="Arial Unicode MS"/>
                <w:sz w:val="20"/>
              </w:rPr>
              <w:t>subscan</w:t>
            </w:r>
            <w:proofErr w:type="spellEnd"/>
            <w:r>
              <w:rPr>
                <w:rFonts w:eastAsia="Arial Unicode MS"/>
                <w:sz w:val="20"/>
              </w:rPr>
              <w:t xml:space="preserve"> currently made at the beginning of each scan. </w:t>
            </w:r>
          </w:p>
        </w:tc>
        <w:tc>
          <w:tcPr>
            <w:tcW w:w="1417" w:type="dxa"/>
          </w:tcPr>
          <w:p w:rsidR="00854CB9" w:rsidRPr="00E41FE5" w:rsidRDefault="00A00AD4" w:rsidP="00660865">
            <w:pPr>
              <w:rPr>
                <w:rFonts w:eastAsia="Arial Unicode MS"/>
                <w:sz w:val="20"/>
                <w:lang w:val="en-GB"/>
              </w:rPr>
            </w:pPr>
            <w:r w:rsidRPr="00E41FE5">
              <w:rPr>
                <w:rFonts w:eastAsia="Arial Unicode MS"/>
                <w:sz w:val="20"/>
                <w:lang w:val="en-GB"/>
              </w:rPr>
              <w:t xml:space="preserve">&lt; </w:t>
            </w:r>
            <w:r w:rsidR="00660865">
              <w:rPr>
                <w:rFonts w:eastAsia="Arial Unicode MS"/>
                <w:sz w:val="20"/>
                <w:lang w:val="en-GB"/>
              </w:rPr>
              <w:t>10</w:t>
            </w:r>
            <w:r w:rsidRPr="00E41FE5">
              <w:rPr>
                <w:rFonts w:eastAsia="Arial Unicode MS"/>
                <w:sz w:val="20"/>
                <w:lang w:val="en-GB"/>
              </w:rPr>
              <w:t xml:space="preserve"> s</w:t>
            </w:r>
            <w:r w:rsidR="00660865">
              <w:rPr>
                <w:rFonts w:eastAsia="Arial Unicode MS"/>
                <w:sz w:val="20"/>
                <w:lang w:val="en-GB"/>
              </w:rPr>
              <w:t xml:space="preserve"> per scan</w:t>
            </w:r>
          </w:p>
        </w:tc>
        <w:tc>
          <w:tcPr>
            <w:tcW w:w="1985" w:type="dxa"/>
          </w:tcPr>
          <w:p w:rsidR="00854CB9" w:rsidRPr="00E41FE5" w:rsidRDefault="00227AE9" w:rsidP="00AE49E6">
            <w:pPr>
              <w:rPr>
                <w:rFonts w:eastAsia="Arial Unicode MS"/>
                <w:sz w:val="20"/>
                <w:lang w:val="en-GB"/>
              </w:rPr>
            </w:pPr>
            <w:r w:rsidRPr="00227AE9">
              <w:rPr>
                <w:rFonts w:eastAsia="Arial Unicode MS"/>
                <w:color w:val="00B0F0"/>
                <w:sz w:val="20"/>
                <w:lang w:val="en-GB"/>
              </w:rPr>
              <w:t xml:space="preserve">6 s (tune </w:t>
            </w:r>
            <w:proofErr w:type="spellStart"/>
            <w:r w:rsidRPr="00227AE9">
              <w:rPr>
                <w:rFonts w:eastAsia="Arial Unicode MS"/>
                <w:color w:val="00B0F0"/>
                <w:sz w:val="20"/>
                <w:lang w:val="en-GB"/>
              </w:rPr>
              <w:t>subscan</w:t>
            </w:r>
            <w:proofErr w:type="spellEnd"/>
            <w:r w:rsidRPr="00227AE9">
              <w:rPr>
                <w:rFonts w:eastAsia="Arial Unicode MS"/>
                <w:color w:val="00B0F0"/>
                <w:sz w:val="20"/>
                <w:lang w:val="en-GB"/>
              </w:rPr>
              <w:t>)</w:t>
            </w:r>
          </w:p>
        </w:tc>
      </w:tr>
      <w:tr w:rsidR="00854CB9" w:rsidTr="00697133">
        <w:tc>
          <w:tcPr>
            <w:tcW w:w="7088" w:type="dxa"/>
          </w:tcPr>
          <w:p w:rsidR="00854CB9" w:rsidRPr="00E41FE5" w:rsidRDefault="002F5383" w:rsidP="00AE49E6">
            <w:pPr>
              <w:rPr>
                <w:rFonts w:eastAsia="Arial Unicode MS"/>
                <w:sz w:val="20"/>
                <w:lang w:val="en-GB"/>
              </w:rPr>
            </w:pPr>
            <w:r w:rsidRPr="00E41FE5">
              <w:rPr>
                <w:rFonts w:eastAsia="Arial Unicode MS"/>
                <w:sz w:val="20"/>
                <w:lang w:val="en-GB"/>
              </w:rPr>
              <w:t xml:space="preserve">FOV </w:t>
            </w:r>
            <w:r w:rsidR="00465C82">
              <w:rPr>
                <w:rFonts w:eastAsia="Arial Unicode MS"/>
                <w:sz w:val="20"/>
                <w:lang w:val="en-GB"/>
              </w:rPr>
              <w:t xml:space="preserve">maximal </w:t>
            </w:r>
            <w:r w:rsidRPr="00E41FE5">
              <w:rPr>
                <w:rFonts w:eastAsia="Arial Unicode MS"/>
                <w:sz w:val="20"/>
                <w:lang w:val="en-GB"/>
              </w:rPr>
              <w:t>grid distortion</w:t>
            </w:r>
          </w:p>
        </w:tc>
        <w:tc>
          <w:tcPr>
            <w:tcW w:w="1417" w:type="dxa"/>
          </w:tcPr>
          <w:p w:rsidR="00854CB9" w:rsidRPr="00E41FE5" w:rsidRDefault="002F5383" w:rsidP="00AE49E6">
            <w:pPr>
              <w:rPr>
                <w:rFonts w:eastAsia="Arial Unicode MS"/>
                <w:sz w:val="20"/>
                <w:lang w:val="en-GB"/>
              </w:rPr>
            </w:pPr>
            <w:r w:rsidRPr="00E41FE5">
              <w:rPr>
                <w:rFonts w:eastAsia="Arial Unicode MS"/>
                <w:sz w:val="20"/>
                <w:lang w:val="en-GB"/>
              </w:rPr>
              <w:t>&lt; 3%</w:t>
            </w:r>
          </w:p>
        </w:tc>
        <w:tc>
          <w:tcPr>
            <w:tcW w:w="1985" w:type="dxa"/>
          </w:tcPr>
          <w:p w:rsidR="00854CB9" w:rsidRPr="00E41FE5" w:rsidRDefault="0083611F" w:rsidP="00AE49E6">
            <w:pPr>
              <w:rPr>
                <w:rFonts w:eastAsia="Arial Unicode MS"/>
                <w:sz w:val="20"/>
                <w:lang w:val="en-GB"/>
              </w:rPr>
            </w:pPr>
            <w:r w:rsidRPr="00611DAA">
              <w:rPr>
                <w:rFonts w:eastAsia="Arial Unicode MS"/>
                <w:color w:val="00B0F0"/>
                <w:sz w:val="20"/>
                <w:lang w:val="en-GB"/>
              </w:rPr>
              <w:t>16</w:t>
            </w:r>
            <w:r w:rsidRPr="00611DAA">
              <w:rPr>
                <w:rFonts w:eastAsia="Arial Unicode MS"/>
                <w:color w:val="00B0F0"/>
                <w:sz w:val="20"/>
                <w:vertAlign w:val="superscript"/>
                <w:lang w:val="en-GB"/>
              </w:rPr>
              <w:t>(I</w:t>
            </w:r>
            <w:r w:rsidR="00BD1DB9" w:rsidRPr="00611DAA">
              <w:rPr>
                <w:rFonts w:eastAsia="Arial Unicode MS"/>
                <w:color w:val="00B0F0"/>
                <w:sz w:val="20"/>
                <w:vertAlign w:val="superscript"/>
                <w:lang w:val="en-GB"/>
              </w:rPr>
              <w:t>I</w:t>
            </w:r>
            <w:r w:rsidRPr="00611DAA">
              <w:rPr>
                <w:rFonts w:eastAsia="Arial Unicode MS"/>
                <w:color w:val="00B0F0"/>
                <w:sz w:val="20"/>
                <w:vertAlign w:val="superscript"/>
                <w:lang w:val="en-GB"/>
              </w:rPr>
              <w:t>)</w:t>
            </w:r>
            <w:r w:rsidRPr="00611DAA">
              <w:rPr>
                <w:rFonts w:eastAsia="Arial Unicode MS"/>
                <w:color w:val="00B0F0"/>
                <w:sz w:val="20"/>
                <w:lang w:val="en-GB"/>
              </w:rPr>
              <w:t xml:space="preserve"> %</w:t>
            </w:r>
          </w:p>
        </w:tc>
      </w:tr>
      <w:tr w:rsidR="00854CB9" w:rsidTr="00697133">
        <w:tc>
          <w:tcPr>
            <w:tcW w:w="7088" w:type="dxa"/>
          </w:tcPr>
          <w:p w:rsidR="00854CB9" w:rsidRPr="00443791" w:rsidRDefault="002F5383" w:rsidP="000557EB">
            <w:pPr>
              <w:rPr>
                <w:rFonts w:eastAsia="Arial Unicode MS"/>
                <w:b/>
                <w:sz w:val="20"/>
                <w:lang w:val="en-GB"/>
              </w:rPr>
            </w:pPr>
            <w:r w:rsidRPr="00443791">
              <w:rPr>
                <w:rFonts w:eastAsia="Arial Unicode MS"/>
                <w:b/>
                <w:sz w:val="20"/>
                <w:lang w:val="en-GB"/>
              </w:rPr>
              <w:t>Instrument stability</w:t>
            </w:r>
            <w:r w:rsidR="00465C82">
              <w:rPr>
                <w:rFonts w:eastAsia="Arial Unicode MS"/>
                <w:b/>
                <w:sz w:val="20"/>
                <w:lang w:val="en-GB"/>
              </w:rPr>
              <w:t xml:space="preserve">: </w:t>
            </w:r>
            <w:r w:rsidR="007C7428">
              <w:rPr>
                <w:rFonts w:eastAsia="Arial Unicode MS"/>
                <w:b/>
                <w:sz w:val="20"/>
                <w:lang w:val="en-GB"/>
              </w:rPr>
              <w:t xml:space="preserve">NEFD </w:t>
            </w:r>
            <w:r w:rsidR="000557EB">
              <w:rPr>
                <w:rFonts w:eastAsia="Arial Unicode MS"/>
                <w:b/>
                <w:sz w:val="20"/>
                <w:lang w:val="en-GB"/>
              </w:rPr>
              <w:t>dispersion at constant opacity</w:t>
            </w:r>
            <w:r w:rsidR="00CB3112" w:rsidRPr="00443791">
              <w:rPr>
                <w:rFonts w:eastAsia="Arial Unicode MS"/>
                <w:b/>
                <w:sz w:val="20"/>
                <w:vertAlign w:val="superscript"/>
                <w:lang w:val="en-GB"/>
              </w:rPr>
              <w:t>(</w:t>
            </w:r>
            <w:r w:rsidR="00121D35" w:rsidRPr="00443791">
              <w:rPr>
                <w:rFonts w:eastAsia="Arial Unicode MS"/>
                <w:b/>
                <w:sz w:val="20"/>
                <w:vertAlign w:val="superscript"/>
                <w:lang w:val="en-GB"/>
              </w:rPr>
              <w:t>4</w:t>
            </w:r>
            <w:r w:rsidR="00CB3112" w:rsidRPr="00443791">
              <w:rPr>
                <w:rFonts w:eastAsia="Arial Unicode MS"/>
                <w:b/>
                <w:sz w:val="20"/>
                <w:vertAlign w:val="superscript"/>
                <w:lang w:val="en-GB"/>
              </w:rPr>
              <w:t>)</w:t>
            </w:r>
          </w:p>
        </w:tc>
        <w:tc>
          <w:tcPr>
            <w:tcW w:w="1417" w:type="dxa"/>
          </w:tcPr>
          <w:p w:rsidR="00854CB9" w:rsidRPr="00E41FE5" w:rsidRDefault="00854CB9" w:rsidP="00AE49E6">
            <w:pPr>
              <w:rPr>
                <w:rFonts w:eastAsia="Arial Unicode MS"/>
                <w:sz w:val="20"/>
                <w:lang w:val="en-GB"/>
              </w:rPr>
            </w:pPr>
          </w:p>
        </w:tc>
        <w:tc>
          <w:tcPr>
            <w:tcW w:w="1985" w:type="dxa"/>
          </w:tcPr>
          <w:p w:rsidR="00854CB9"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854CB9" w:rsidTr="00697133">
        <w:tc>
          <w:tcPr>
            <w:tcW w:w="7088" w:type="dxa"/>
          </w:tcPr>
          <w:p w:rsidR="00854CB9" w:rsidRPr="00443791" w:rsidRDefault="00EF1BBA" w:rsidP="00935A1C">
            <w:pPr>
              <w:rPr>
                <w:rFonts w:eastAsia="Arial Unicode MS"/>
                <w:b/>
                <w:sz w:val="20"/>
                <w:lang w:val="en-GB"/>
              </w:rPr>
            </w:pPr>
            <w:r w:rsidRPr="00443791">
              <w:rPr>
                <w:rFonts w:eastAsia="Arial Unicode MS"/>
                <w:b/>
                <w:sz w:val="20"/>
                <w:lang w:val="en-GB"/>
              </w:rPr>
              <w:t>Instrument stability</w:t>
            </w:r>
            <w:r w:rsidR="00465C82">
              <w:rPr>
                <w:rFonts w:eastAsia="Arial Unicode MS"/>
                <w:b/>
                <w:sz w:val="20"/>
                <w:lang w:val="en-GB"/>
              </w:rPr>
              <w:t>:</w:t>
            </w:r>
            <w:r w:rsidRPr="00443791">
              <w:rPr>
                <w:rFonts w:eastAsia="Arial Unicode MS"/>
                <w:b/>
                <w:sz w:val="20"/>
                <w:lang w:val="en-GB"/>
              </w:rPr>
              <w:t xml:space="preserve"> </w:t>
            </w:r>
            <w:r w:rsidR="00935A1C">
              <w:rPr>
                <w:rFonts w:eastAsia="Arial Unicode MS"/>
                <w:b/>
                <w:sz w:val="20"/>
                <w:lang w:val="en-GB"/>
              </w:rPr>
              <w:t xml:space="preserve">mean fraction of valid pixel’s TOIs discarded due to </w:t>
            </w:r>
            <w:r w:rsidRPr="00443791">
              <w:rPr>
                <w:rFonts w:eastAsia="Arial Unicode MS"/>
                <w:b/>
                <w:sz w:val="20"/>
                <w:lang w:val="en-GB"/>
              </w:rPr>
              <w:t>jump</w:t>
            </w:r>
            <w:r w:rsidR="00935A1C">
              <w:rPr>
                <w:rFonts w:eastAsia="Arial Unicode MS"/>
                <w:b/>
                <w:sz w:val="20"/>
                <w:lang w:val="en-GB"/>
              </w:rPr>
              <w:t>s</w:t>
            </w:r>
            <w:r w:rsidRPr="00443791">
              <w:rPr>
                <w:rFonts w:eastAsia="Arial Unicode MS"/>
                <w:b/>
                <w:sz w:val="20"/>
                <w:lang w:val="en-GB"/>
              </w:rPr>
              <w:t xml:space="preserve"> </w:t>
            </w:r>
            <w:r w:rsidR="00935A1C">
              <w:rPr>
                <w:rFonts w:eastAsia="Arial Unicode MS"/>
                <w:b/>
                <w:sz w:val="20"/>
                <w:lang w:val="en-GB"/>
              </w:rPr>
              <w:t>or other effects per</w:t>
            </w:r>
            <w:r w:rsidRPr="00443791">
              <w:rPr>
                <w:rFonts w:eastAsia="Arial Unicode MS"/>
                <w:b/>
                <w:sz w:val="20"/>
                <w:lang w:val="en-GB"/>
              </w:rPr>
              <w:t xml:space="preserve"> day</w:t>
            </w:r>
            <w:r w:rsidR="00465C82">
              <w:rPr>
                <w:rFonts w:eastAsia="Arial Unicode MS"/>
                <w:b/>
                <w:sz w:val="20"/>
                <w:lang w:val="en-GB"/>
              </w:rPr>
              <w:t>.</w:t>
            </w:r>
          </w:p>
        </w:tc>
        <w:tc>
          <w:tcPr>
            <w:tcW w:w="1417" w:type="dxa"/>
          </w:tcPr>
          <w:p w:rsidR="00854CB9" w:rsidRPr="00E41FE5" w:rsidRDefault="00854CB9" w:rsidP="00AE49E6">
            <w:pPr>
              <w:rPr>
                <w:rFonts w:eastAsia="Arial Unicode MS"/>
                <w:sz w:val="20"/>
                <w:lang w:val="en-GB"/>
              </w:rPr>
            </w:pPr>
          </w:p>
        </w:tc>
        <w:tc>
          <w:tcPr>
            <w:tcW w:w="1985" w:type="dxa"/>
          </w:tcPr>
          <w:p w:rsidR="00854CB9"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EF1BBA" w:rsidTr="00697133">
        <w:tc>
          <w:tcPr>
            <w:tcW w:w="7088" w:type="dxa"/>
          </w:tcPr>
          <w:p w:rsidR="00EF1BBA" w:rsidRPr="00E41FE5" w:rsidRDefault="00EF1BBA" w:rsidP="00EF1BBA">
            <w:pPr>
              <w:rPr>
                <w:rFonts w:eastAsia="Arial Unicode MS"/>
                <w:sz w:val="20"/>
                <w:lang w:val="en-GB"/>
              </w:rPr>
            </w:pPr>
            <w:r w:rsidRPr="00E41FE5">
              <w:rPr>
                <w:rFonts w:eastAsia="Arial Unicode MS"/>
                <w:sz w:val="20"/>
                <w:lang w:val="en-GB"/>
              </w:rPr>
              <w:t>Flat field dispersion for the near field (forward efficiency)</w:t>
            </w:r>
          </w:p>
        </w:tc>
        <w:tc>
          <w:tcPr>
            <w:tcW w:w="1417" w:type="dxa"/>
          </w:tcPr>
          <w:p w:rsidR="00EF1BBA" w:rsidRPr="00E41FE5" w:rsidRDefault="00EF1BBA" w:rsidP="00AE49E6">
            <w:pPr>
              <w:rPr>
                <w:rFonts w:eastAsia="Arial Unicode MS"/>
                <w:sz w:val="20"/>
                <w:lang w:val="en-GB"/>
              </w:rPr>
            </w:pPr>
            <w:r w:rsidRPr="00E41FE5">
              <w:rPr>
                <w:rFonts w:eastAsia="Arial Unicode MS"/>
                <w:sz w:val="20"/>
                <w:lang w:val="en-GB"/>
              </w:rPr>
              <w:t>&lt; 10%</w:t>
            </w:r>
          </w:p>
        </w:tc>
        <w:tc>
          <w:tcPr>
            <w:tcW w:w="1985" w:type="dxa"/>
          </w:tcPr>
          <w:p w:rsidR="00EF1BBA" w:rsidRPr="00E41FE5" w:rsidRDefault="00C83B3F" w:rsidP="00C83B3F">
            <w:pPr>
              <w:rPr>
                <w:rFonts w:eastAsia="Arial Unicode MS"/>
                <w:sz w:val="20"/>
                <w:lang w:val="en-GB"/>
              </w:rPr>
            </w:pPr>
            <w:proofErr w:type="spellStart"/>
            <w:r w:rsidRPr="00977513">
              <w:rPr>
                <w:rFonts w:eastAsia="Arial Unicode MS"/>
                <w:color w:val="31849B" w:themeColor="accent5" w:themeShade="BF"/>
                <w:sz w:val="20"/>
                <w:lang w:val="en-GB"/>
              </w:rPr>
              <w:t>Feff</w:t>
            </w:r>
            <w:proofErr w:type="spellEnd"/>
            <w:r w:rsidRPr="00977513">
              <w:rPr>
                <w:rFonts w:eastAsia="Arial Unicode MS"/>
                <w:color w:val="31849B" w:themeColor="accent5" w:themeShade="BF"/>
                <w:sz w:val="20"/>
                <w:lang w:val="en-GB"/>
              </w:rPr>
              <w:t xml:space="preserve"> FF gradient &gt;&gt;10% on array 1 lower on array 2 &amp; 3</w:t>
            </w:r>
          </w:p>
        </w:tc>
      </w:tr>
      <w:tr w:rsidR="00EF1BBA" w:rsidTr="00697133">
        <w:tc>
          <w:tcPr>
            <w:tcW w:w="7088" w:type="dxa"/>
          </w:tcPr>
          <w:p w:rsidR="00EF1BBA" w:rsidRPr="00E41FE5" w:rsidRDefault="00EF1BBA" w:rsidP="00EF1BBA">
            <w:pPr>
              <w:rPr>
                <w:rFonts w:eastAsia="Arial Unicode MS"/>
                <w:sz w:val="20"/>
                <w:lang w:val="en-GB"/>
              </w:rPr>
            </w:pPr>
            <w:r w:rsidRPr="00E41FE5">
              <w:rPr>
                <w:rFonts w:eastAsia="Arial Unicode MS"/>
                <w:sz w:val="20"/>
                <w:lang w:val="en-GB"/>
              </w:rPr>
              <w:t>Flat field dispersion for the far field (main beam)</w:t>
            </w:r>
          </w:p>
        </w:tc>
        <w:tc>
          <w:tcPr>
            <w:tcW w:w="1417" w:type="dxa"/>
          </w:tcPr>
          <w:p w:rsidR="00EF1BBA" w:rsidRPr="00E41FE5" w:rsidRDefault="00EF1BBA" w:rsidP="00AE49E6">
            <w:pPr>
              <w:rPr>
                <w:rFonts w:eastAsia="Arial Unicode MS"/>
                <w:sz w:val="20"/>
                <w:lang w:val="en-GB"/>
              </w:rPr>
            </w:pPr>
            <w:r w:rsidRPr="00E41FE5">
              <w:rPr>
                <w:rFonts w:eastAsia="Arial Unicode MS"/>
                <w:sz w:val="20"/>
                <w:lang w:val="en-GB"/>
              </w:rPr>
              <w:t>&lt; 10%</w:t>
            </w:r>
          </w:p>
        </w:tc>
        <w:tc>
          <w:tcPr>
            <w:tcW w:w="1985" w:type="dxa"/>
          </w:tcPr>
          <w:p w:rsidR="00EF1BBA" w:rsidRPr="004369E2" w:rsidRDefault="00C83B3F" w:rsidP="00C83B3F">
            <w:pPr>
              <w:rPr>
                <w:rFonts w:eastAsia="Arial Unicode MS"/>
                <w:sz w:val="20"/>
                <w:lang w:val="en-GB"/>
              </w:rPr>
            </w:pPr>
            <w:r w:rsidRPr="00977513">
              <w:rPr>
                <w:rFonts w:eastAsia="Arial Unicode MS"/>
                <w:color w:val="31849B" w:themeColor="accent5" w:themeShade="BF"/>
                <w:sz w:val="20"/>
                <w:lang w:val="en-GB"/>
              </w:rPr>
              <w:t>MB FF gradient &gt;10% on array 1 lower on array 2 &amp; 3</w:t>
            </w:r>
          </w:p>
        </w:tc>
      </w:tr>
      <w:tr w:rsidR="00EF1BBA" w:rsidTr="00697133">
        <w:tc>
          <w:tcPr>
            <w:tcW w:w="7088" w:type="dxa"/>
          </w:tcPr>
          <w:p w:rsidR="00EF1BBA" w:rsidRPr="00E41FE5" w:rsidRDefault="00EF1BBA" w:rsidP="00AE49E6">
            <w:pPr>
              <w:rPr>
                <w:rFonts w:eastAsia="Arial Unicode MS"/>
                <w:sz w:val="20"/>
                <w:lang w:val="en-GB"/>
              </w:rPr>
            </w:pPr>
            <w:r w:rsidRPr="00E41FE5">
              <w:rPr>
                <w:rFonts w:eastAsia="Arial Unicode MS"/>
                <w:sz w:val="20"/>
                <w:lang w:val="en-GB"/>
              </w:rPr>
              <w:t>Gain elevation efficiency</w:t>
            </w:r>
            <w:r w:rsidR="0092646B" w:rsidRPr="00E41FE5">
              <w:rPr>
                <w:rFonts w:eastAsia="Arial Unicode MS"/>
                <w:sz w:val="20"/>
                <w:lang w:val="en-GB"/>
              </w:rPr>
              <w:t xml:space="preserve"> maximum deviation from heterodyne reference</w:t>
            </w:r>
            <w:r w:rsidR="007060C9">
              <w:rPr>
                <w:rFonts w:eastAsia="Arial Unicode MS"/>
                <w:sz w:val="20"/>
                <w:vertAlign w:val="superscript"/>
                <w:lang w:val="en-GB"/>
              </w:rPr>
              <w:t>(5)</w:t>
            </w:r>
            <w:r w:rsidR="0092646B" w:rsidRPr="00E41FE5">
              <w:rPr>
                <w:rFonts w:eastAsia="Arial Unicode MS"/>
                <w:sz w:val="20"/>
                <w:lang w:val="en-GB"/>
              </w:rPr>
              <w:t xml:space="preserve"> (EMIR)</w:t>
            </w:r>
          </w:p>
        </w:tc>
        <w:tc>
          <w:tcPr>
            <w:tcW w:w="1417" w:type="dxa"/>
          </w:tcPr>
          <w:p w:rsidR="00EF1BBA" w:rsidRPr="00E41FE5" w:rsidRDefault="00C46B4B" w:rsidP="007C7428">
            <w:pPr>
              <w:rPr>
                <w:rFonts w:eastAsia="Arial Unicode MS"/>
                <w:sz w:val="20"/>
                <w:lang w:val="en-GB"/>
              </w:rPr>
            </w:pPr>
            <w:r w:rsidRPr="00E41FE5">
              <w:rPr>
                <w:rFonts w:eastAsia="Arial Unicode MS"/>
                <w:sz w:val="20"/>
                <w:lang w:val="en-GB"/>
              </w:rPr>
              <w:t>&lt;</w:t>
            </w:r>
            <w:r w:rsidR="00EF1BBA" w:rsidRPr="00E41FE5">
              <w:rPr>
                <w:rFonts w:eastAsia="Arial Unicode MS"/>
                <w:sz w:val="20"/>
                <w:lang w:val="en-GB"/>
              </w:rPr>
              <w:t>1</w:t>
            </w:r>
            <w:r w:rsidR="007C7428">
              <w:rPr>
                <w:rFonts w:eastAsia="Arial Unicode MS"/>
                <w:sz w:val="20"/>
                <w:lang w:val="en-GB"/>
              </w:rPr>
              <w:t>5</w:t>
            </w:r>
            <w:r w:rsidR="00EF1BBA" w:rsidRPr="00E41FE5">
              <w:rPr>
                <w:rFonts w:eastAsia="Arial Unicode MS"/>
                <w:sz w:val="20"/>
                <w:lang w:val="en-GB"/>
              </w:rPr>
              <w:t>%</w:t>
            </w:r>
          </w:p>
        </w:tc>
        <w:tc>
          <w:tcPr>
            <w:tcW w:w="1985" w:type="dxa"/>
          </w:tcPr>
          <w:p w:rsidR="00EF1BBA" w:rsidRPr="0094068A" w:rsidRDefault="000557EB" w:rsidP="00AE49E6">
            <w:pPr>
              <w:rPr>
                <w:rFonts w:eastAsia="Arial Unicode MS"/>
                <w:b/>
                <w:color w:val="FF0000"/>
                <w:sz w:val="20"/>
                <w:lang w:val="en-GB"/>
              </w:rPr>
            </w:pPr>
            <w:r w:rsidRPr="00977513">
              <w:rPr>
                <w:rFonts w:eastAsia="Arial Unicode MS"/>
                <w:color w:val="31849B" w:themeColor="accent5" w:themeShade="BF"/>
                <w:sz w:val="20"/>
                <w:lang w:val="en-GB"/>
              </w:rPr>
              <w:t>If not available for phase 1 review please give an explanation</w:t>
            </w:r>
          </w:p>
        </w:tc>
      </w:tr>
      <w:tr w:rsidR="00EF1BBA" w:rsidTr="00697133">
        <w:tc>
          <w:tcPr>
            <w:tcW w:w="7088" w:type="dxa"/>
          </w:tcPr>
          <w:p w:rsidR="00BA631B" w:rsidRPr="0058089C" w:rsidRDefault="00EF1BBA" w:rsidP="0058089C">
            <w:pPr>
              <w:rPr>
                <w:rFonts w:eastAsia="Arial Unicode MS"/>
                <w:lang w:val="en-GB"/>
              </w:rPr>
            </w:pPr>
            <w:r w:rsidRPr="00215082">
              <w:rPr>
                <w:rFonts w:eastAsia="Arial Unicode MS"/>
                <w:b/>
                <w:sz w:val="20"/>
                <w:lang w:val="en-GB"/>
              </w:rPr>
              <w:t>Atmospheric opacity in the line of sight accuracy (total power capacity)</w:t>
            </w:r>
            <w:r w:rsidR="0058089C">
              <w:rPr>
                <w:rFonts w:eastAsia="Arial Unicode MS"/>
                <w:b/>
                <w:sz w:val="20"/>
                <w:lang w:val="en-GB"/>
              </w:rPr>
              <w:t xml:space="preserve">: standard deviation of the population of </w:t>
            </w:r>
            <w:r w:rsidR="0058089C">
              <w:rPr>
                <w:rFonts w:ascii="Symbol" w:eastAsia="Arial Unicode MS" w:hAnsi="Symbol"/>
                <w:b/>
                <w:sz w:val="20"/>
                <w:lang w:val="en-GB"/>
              </w:rPr>
              <w:t></w:t>
            </w:r>
            <w:r w:rsidR="0058089C">
              <w:rPr>
                <w:rFonts w:eastAsia="Arial Unicode MS"/>
                <w:b/>
                <w:sz w:val="20"/>
                <w:vertAlign w:val="subscript"/>
                <w:lang w:val="en-GB"/>
              </w:rPr>
              <w:t>2mm</w:t>
            </w:r>
            <w:r w:rsidR="0058089C">
              <w:rPr>
                <w:rFonts w:eastAsia="Arial Unicode MS"/>
                <w:b/>
                <w:sz w:val="20"/>
                <w:lang w:val="en-GB"/>
              </w:rPr>
              <w:t>/</w:t>
            </w:r>
            <w:r w:rsidR="0058089C">
              <w:rPr>
                <w:rFonts w:ascii="Symbol" w:eastAsia="Arial Unicode MS" w:hAnsi="Symbol"/>
                <w:b/>
                <w:sz w:val="20"/>
                <w:lang w:val="en-GB"/>
              </w:rPr>
              <w:t></w:t>
            </w:r>
            <w:r w:rsidR="0058089C">
              <w:rPr>
                <w:rFonts w:eastAsia="Arial Unicode MS"/>
                <w:b/>
                <w:sz w:val="20"/>
                <w:lang w:val="en-GB"/>
              </w:rPr>
              <w:softHyphen/>
            </w:r>
            <w:r w:rsidR="0058089C">
              <w:rPr>
                <w:rFonts w:eastAsia="Arial Unicode MS"/>
                <w:b/>
                <w:sz w:val="20"/>
                <w:vertAlign w:val="subscript"/>
                <w:lang w:val="en-GB"/>
              </w:rPr>
              <w:t>1mm</w:t>
            </w:r>
            <w:r w:rsidR="0058089C">
              <w:rPr>
                <w:rFonts w:eastAsia="Arial Unicode MS"/>
                <w:b/>
                <w:sz w:val="20"/>
                <w:lang w:val="en-GB"/>
              </w:rPr>
              <w:t xml:space="preserve"> as a function of </w:t>
            </w:r>
            <w:r w:rsidR="0058089C">
              <w:rPr>
                <w:rFonts w:ascii="Symbol" w:eastAsia="Arial Unicode MS" w:hAnsi="Symbol"/>
                <w:b/>
                <w:sz w:val="20"/>
                <w:lang w:val="en-GB"/>
              </w:rPr>
              <w:t></w:t>
            </w:r>
            <w:r w:rsidR="0058089C">
              <w:rPr>
                <w:rFonts w:eastAsia="Arial Unicode MS"/>
                <w:b/>
                <w:sz w:val="20"/>
                <w:lang w:val="en-GB"/>
              </w:rPr>
              <w:softHyphen/>
            </w:r>
            <w:r w:rsidR="0058089C">
              <w:rPr>
                <w:rFonts w:eastAsia="Arial Unicode MS"/>
                <w:b/>
                <w:sz w:val="20"/>
                <w:vertAlign w:val="subscript"/>
                <w:lang w:val="en-GB"/>
              </w:rPr>
              <w:t>2mm</w:t>
            </w:r>
            <w:r w:rsidR="0058089C">
              <w:rPr>
                <w:rFonts w:eastAsia="Arial Unicode MS"/>
                <w:b/>
                <w:sz w:val="20"/>
                <w:lang w:val="en-GB"/>
              </w:rPr>
              <w:t xml:space="preserve"> in the range [0.1;0.6] over a run w.r.t expected curve</w:t>
            </w:r>
          </w:p>
        </w:tc>
        <w:tc>
          <w:tcPr>
            <w:tcW w:w="1417" w:type="dxa"/>
          </w:tcPr>
          <w:p w:rsidR="00EF1BBA" w:rsidRPr="00215082" w:rsidRDefault="00EF1BBA" w:rsidP="00AE49E6">
            <w:pPr>
              <w:rPr>
                <w:rFonts w:eastAsia="Arial Unicode MS"/>
                <w:b/>
                <w:sz w:val="20"/>
                <w:lang w:val="en-GB"/>
              </w:rPr>
            </w:pPr>
            <w:r w:rsidRPr="00215082">
              <w:rPr>
                <w:rFonts w:eastAsia="Arial Unicode MS"/>
                <w:b/>
                <w:sz w:val="20"/>
                <w:lang w:val="en-GB"/>
              </w:rPr>
              <w:t>&lt;10%</w:t>
            </w:r>
          </w:p>
        </w:tc>
        <w:tc>
          <w:tcPr>
            <w:tcW w:w="1985" w:type="dxa"/>
          </w:tcPr>
          <w:p w:rsidR="00EF1BBA"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58089C" w:rsidTr="00697133">
        <w:tc>
          <w:tcPr>
            <w:tcW w:w="7088" w:type="dxa"/>
          </w:tcPr>
          <w:p w:rsidR="0058089C" w:rsidRPr="00E41FE5" w:rsidRDefault="0058089C" w:rsidP="00AE49E6">
            <w:pPr>
              <w:rPr>
                <w:rFonts w:eastAsia="Arial Unicode MS"/>
                <w:sz w:val="20"/>
                <w:lang w:val="en-GB"/>
              </w:rPr>
            </w:pPr>
            <w:r w:rsidRPr="00E41FE5">
              <w:rPr>
                <w:rFonts w:eastAsia="Arial Unicode MS"/>
                <w:sz w:val="20"/>
                <w:lang w:val="en-GB"/>
              </w:rPr>
              <w:t>List of possible scan types, including calibration, with validated quick look procedure</w:t>
            </w:r>
          </w:p>
        </w:tc>
        <w:tc>
          <w:tcPr>
            <w:tcW w:w="3402" w:type="dxa"/>
            <w:gridSpan w:val="2"/>
          </w:tcPr>
          <w:p w:rsidR="0058089C" w:rsidRPr="00E41FE5" w:rsidRDefault="0058089C" w:rsidP="00AE49E6">
            <w:pPr>
              <w:rPr>
                <w:rFonts w:eastAsia="Arial Unicode MS"/>
                <w:sz w:val="20"/>
                <w:lang w:val="en-GB"/>
              </w:rPr>
            </w:pPr>
            <w:r w:rsidRPr="00E41FE5">
              <w:rPr>
                <w:rFonts w:eastAsia="Arial Unicode MS"/>
                <w:sz w:val="20"/>
                <w:lang w:val="en-GB"/>
              </w:rPr>
              <w:t>Pointing, Focus</w:t>
            </w:r>
            <w:r>
              <w:rPr>
                <w:rFonts w:eastAsia="Arial Unicode MS"/>
                <w:sz w:val="20"/>
                <w:lang w:val="en-GB"/>
              </w:rPr>
              <w:t>,</w:t>
            </w:r>
            <w:r w:rsidRPr="00E41FE5">
              <w:rPr>
                <w:rFonts w:eastAsia="Arial Unicode MS"/>
                <w:sz w:val="20"/>
                <w:lang w:val="en-GB"/>
              </w:rPr>
              <w:t xml:space="preserve"> </w:t>
            </w:r>
            <w:r>
              <w:rPr>
                <w:rFonts w:eastAsia="Arial Unicode MS"/>
                <w:sz w:val="20"/>
                <w:lang w:val="en-GB"/>
              </w:rPr>
              <w:t>OTF</w:t>
            </w:r>
          </w:p>
        </w:tc>
      </w:tr>
      <w:tr w:rsidR="00697133" w:rsidTr="003B3E0A">
        <w:tc>
          <w:tcPr>
            <w:tcW w:w="7088" w:type="dxa"/>
          </w:tcPr>
          <w:p w:rsidR="00697133" w:rsidRPr="00E41FE5" w:rsidRDefault="00697133" w:rsidP="0055093D">
            <w:pPr>
              <w:rPr>
                <w:rFonts w:eastAsia="Arial Unicode MS"/>
                <w:sz w:val="20"/>
                <w:lang w:val="en-GB"/>
              </w:rPr>
            </w:pPr>
            <w:r>
              <w:rPr>
                <w:rFonts w:eastAsia="Arial Unicode MS"/>
                <w:sz w:val="20"/>
                <w:lang w:val="en-GB"/>
              </w:rPr>
              <w:t xml:space="preserve">Best average </w:t>
            </w:r>
            <w:proofErr w:type="gramStart"/>
            <w:r>
              <w:rPr>
                <w:rFonts w:eastAsia="Arial Unicode MS"/>
                <w:sz w:val="20"/>
                <w:lang w:val="en-GB"/>
              </w:rPr>
              <w:t>focus over an array in terms of M2 Z shift with resp</w:t>
            </w:r>
            <w:r w:rsidR="0055093D">
              <w:rPr>
                <w:rFonts w:eastAsia="Arial Unicode MS"/>
                <w:sz w:val="20"/>
                <w:lang w:val="en-GB"/>
              </w:rPr>
              <w:t>ect to the best central focus</w:t>
            </w:r>
            <w:proofErr w:type="gramEnd"/>
            <w:r w:rsidR="0055093D">
              <w:rPr>
                <w:rFonts w:eastAsia="Arial Unicode MS"/>
                <w:sz w:val="20"/>
                <w:lang w:val="en-GB"/>
              </w:rPr>
              <w:t xml:space="preserve"> </w:t>
            </w:r>
            <w:r>
              <w:rPr>
                <w:rFonts w:eastAsia="Arial Unicode MS"/>
                <w:sz w:val="20"/>
                <w:lang w:val="en-GB"/>
              </w:rPr>
              <w:t xml:space="preserve">   </w:t>
            </w:r>
            <w:r w:rsidR="0055093D">
              <w:rPr>
                <w:color w:val="00B0F0"/>
                <w:sz w:val="20"/>
                <w:szCs w:val="20"/>
              </w:rPr>
              <w:t xml:space="preserve">       </w:t>
            </w:r>
            <w:r w:rsidR="0055093D" w:rsidRPr="00204DCF">
              <w:rPr>
                <w:b/>
                <w:color w:val="00B050"/>
                <w:sz w:val="20"/>
                <w:szCs w:val="20"/>
              </w:rPr>
              <w:t>{</w:t>
            </w:r>
            <w:r w:rsidR="0055093D">
              <w:rPr>
                <w:b/>
                <w:color w:val="00B050"/>
                <w:sz w:val="20"/>
                <w:szCs w:val="20"/>
              </w:rPr>
              <w:t>p. 20?</w:t>
            </w:r>
            <w:r w:rsidR="0055093D" w:rsidRPr="00204DCF">
              <w:rPr>
                <w:b/>
                <w:color w:val="00B050"/>
                <w:sz w:val="20"/>
                <w:szCs w:val="20"/>
              </w:rPr>
              <w:t>}</w:t>
            </w:r>
          </w:p>
        </w:tc>
        <w:tc>
          <w:tcPr>
            <w:tcW w:w="1417" w:type="dxa"/>
          </w:tcPr>
          <w:p w:rsidR="00697133" w:rsidRPr="00E41FE5" w:rsidRDefault="0055093D" w:rsidP="0055093D">
            <w:pPr>
              <w:rPr>
                <w:rFonts w:eastAsia="Arial Unicode MS"/>
                <w:sz w:val="20"/>
                <w:lang w:val="en-GB"/>
              </w:rPr>
            </w:pPr>
            <w:r>
              <w:rPr>
                <w:rFonts w:eastAsia="Arial Unicode MS"/>
                <w:sz w:val="20"/>
                <w:lang w:val="en-GB"/>
              </w:rPr>
              <w:t>-0.2 mm</w:t>
            </w:r>
          </w:p>
        </w:tc>
        <w:tc>
          <w:tcPr>
            <w:tcW w:w="1985" w:type="dxa"/>
          </w:tcPr>
          <w:p w:rsidR="00697133" w:rsidRPr="00E41FE5" w:rsidRDefault="0055093D" w:rsidP="003B3E0A">
            <w:pPr>
              <w:rPr>
                <w:rFonts w:eastAsia="Arial Unicode MS"/>
                <w:sz w:val="20"/>
                <w:lang w:val="en-GB"/>
              </w:rPr>
            </w:pPr>
            <w:r w:rsidRPr="0055093D">
              <w:rPr>
                <w:rFonts w:eastAsia="Arial Unicode MS"/>
                <w:color w:val="00B0F0"/>
                <w:sz w:val="20"/>
                <w:lang w:val="en-GB"/>
              </w:rPr>
              <w:t xml:space="preserve">-0.25 </w:t>
            </w:r>
            <w:proofErr w:type="gramStart"/>
            <w:r w:rsidRPr="0055093D">
              <w:rPr>
                <w:rFonts w:eastAsia="Arial Unicode MS"/>
                <w:color w:val="00B0F0"/>
                <w:sz w:val="20"/>
                <w:lang w:val="en-GB"/>
              </w:rPr>
              <w:t>mm ?</w:t>
            </w:r>
            <w:proofErr w:type="gramEnd"/>
          </w:p>
        </w:tc>
      </w:tr>
      <w:tr w:rsidR="00697133" w:rsidTr="00697133">
        <w:tc>
          <w:tcPr>
            <w:tcW w:w="7088" w:type="dxa"/>
          </w:tcPr>
          <w:p w:rsidR="00697133" w:rsidRPr="00E41FE5" w:rsidRDefault="00697133" w:rsidP="0055093D">
            <w:pPr>
              <w:rPr>
                <w:rFonts w:eastAsia="Arial Unicode MS"/>
                <w:sz w:val="20"/>
                <w:lang w:val="en-GB"/>
              </w:rPr>
            </w:pPr>
            <w:r>
              <w:rPr>
                <w:rFonts w:eastAsia="Arial Unicode MS"/>
                <w:sz w:val="20"/>
                <w:lang w:val="en-GB"/>
              </w:rPr>
              <w:t>Maximal focus</w:t>
            </w:r>
            <w:r w:rsidRPr="00E41FE5">
              <w:rPr>
                <w:rFonts w:eastAsia="Arial Unicode MS"/>
                <w:sz w:val="20"/>
                <w:lang w:val="en-GB"/>
              </w:rPr>
              <w:t xml:space="preserve"> difference in terms of M2 Z shift</w:t>
            </w:r>
            <w:r>
              <w:rPr>
                <w:rFonts w:eastAsia="Arial Unicode MS"/>
                <w:sz w:val="20"/>
                <w:lang w:val="en-GB"/>
              </w:rPr>
              <w:t xml:space="preserve"> between the most extreme pixels on the focal surface, for most</w:t>
            </w:r>
            <w:r w:rsidR="0055093D">
              <w:rPr>
                <w:rFonts w:eastAsia="Arial Unicode MS"/>
                <w:sz w:val="20"/>
                <w:lang w:val="en-GB"/>
              </w:rPr>
              <w:t xml:space="preserve"> extreme of the 3 arrays</w:t>
            </w:r>
            <w:r w:rsidR="0055093D">
              <w:rPr>
                <w:color w:val="00B0F0"/>
                <w:sz w:val="20"/>
                <w:szCs w:val="20"/>
              </w:rPr>
              <w:t xml:space="preserve">          </w:t>
            </w:r>
            <w:r w:rsidR="0055093D" w:rsidRPr="00204DCF">
              <w:rPr>
                <w:b/>
                <w:color w:val="00B050"/>
                <w:sz w:val="20"/>
                <w:szCs w:val="20"/>
              </w:rPr>
              <w:t>{</w:t>
            </w:r>
            <w:r w:rsidR="0055093D">
              <w:rPr>
                <w:b/>
                <w:color w:val="00B050"/>
                <w:sz w:val="20"/>
                <w:szCs w:val="20"/>
              </w:rPr>
              <w:t xml:space="preserve"> p. 20</w:t>
            </w:r>
            <w:r w:rsidR="0055093D" w:rsidRPr="00204DCF">
              <w:rPr>
                <w:b/>
                <w:color w:val="00B050"/>
                <w:sz w:val="20"/>
                <w:szCs w:val="20"/>
              </w:rPr>
              <w:t>}</w:t>
            </w:r>
          </w:p>
        </w:tc>
        <w:tc>
          <w:tcPr>
            <w:tcW w:w="1417" w:type="dxa"/>
          </w:tcPr>
          <w:p w:rsidR="00697133" w:rsidRPr="00E41FE5" w:rsidRDefault="0055093D" w:rsidP="0055093D">
            <w:pPr>
              <w:rPr>
                <w:rFonts w:eastAsia="Arial Unicode MS"/>
                <w:sz w:val="20"/>
                <w:lang w:val="en-GB"/>
              </w:rPr>
            </w:pPr>
            <w:r>
              <w:rPr>
                <w:rFonts w:eastAsia="Arial Unicode MS"/>
                <w:sz w:val="20"/>
                <w:lang w:val="en-GB"/>
              </w:rPr>
              <w:t>-0.4 mm</w:t>
            </w:r>
          </w:p>
        </w:tc>
        <w:tc>
          <w:tcPr>
            <w:tcW w:w="1985" w:type="dxa"/>
          </w:tcPr>
          <w:p w:rsidR="00697133" w:rsidRPr="0055093D" w:rsidRDefault="0055093D" w:rsidP="00AE49E6">
            <w:pPr>
              <w:rPr>
                <w:rFonts w:eastAsia="Arial Unicode MS"/>
                <w:color w:val="00B0F0"/>
                <w:sz w:val="20"/>
                <w:lang w:val="en-GB"/>
              </w:rPr>
            </w:pPr>
            <w:r w:rsidRPr="0055093D">
              <w:rPr>
                <w:rFonts w:eastAsia="Arial Unicode MS"/>
                <w:color w:val="00B0F0"/>
                <w:sz w:val="20"/>
                <w:lang w:val="en-GB"/>
              </w:rPr>
              <w:t>-0.6</w:t>
            </w:r>
            <w:r w:rsidR="00D355BC">
              <w:rPr>
                <w:rFonts w:eastAsia="Arial Unicode MS"/>
                <w:color w:val="00B0F0"/>
                <w:sz w:val="20"/>
                <w:lang w:val="en-GB"/>
              </w:rPr>
              <w:t>0</w:t>
            </w:r>
            <w:r w:rsidRPr="0055093D">
              <w:rPr>
                <w:rFonts w:eastAsia="Arial Unicode MS"/>
                <w:color w:val="00B0F0"/>
                <w:sz w:val="20"/>
                <w:lang w:val="en-GB"/>
              </w:rPr>
              <w:t xml:space="preserve"> mm</w:t>
            </w:r>
          </w:p>
        </w:tc>
      </w:tr>
      <w:tr w:rsidR="00AA1EE0" w:rsidTr="00697133">
        <w:tc>
          <w:tcPr>
            <w:tcW w:w="7088" w:type="dxa"/>
          </w:tcPr>
          <w:p w:rsidR="00AA1EE0" w:rsidRPr="00E41FE5" w:rsidRDefault="00AA1EE0" w:rsidP="00D355BC">
            <w:pPr>
              <w:rPr>
                <w:rFonts w:eastAsia="Arial Unicode MS"/>
                <w:sz w:val="20"/>
                <w:lang w:val="en-GB"/>
              </w:rPr>
            </w:pPr>
            <w:r w:rsidRPr="00E41FE5">
              <w:rPr>
                <w:rFonts w:eastAsia="Arial Unicode MS"/>
                <w:sz w:val="20"/>
                <w:lang w:val="en-GB"/>
              </w:rPr>
              <w:t>Focus difference between arrays in terms of M2 Z shift</w:t>
            </w:r>
            <w:r w:rsidR="00867C1A">
              <w:rPr>
                <w:rFonts w:eastAsia="Arial Unicode MS"/>
                <w:sz w:val="20"/>
                <w:lang w:val="en-GB"/>
              </w:rPr>
              <w:t xml:space="preserve"> </w:t>
            </w:r>
            <w:r w:rsidR="00697133">
              <w:rPr>
                <w:rFonts w:eastAsia="Arial Unicode MS"/>
                <w:sz w:val="20"/>
                <w:lang w:val="en-GB"/>
              </w:rPr>
              <w:t xml:space="preserve">between the </w:t>
            </w:r>
            <w:r w:rsidR="00D355BC">
              <w:rPr>
                <w:rFonts w:eastAsia="Arial Unicode MS"/>
                <w:sz w:val="20"/>
                <w:lang w:val="en-GB"/>
              </w:rPr>
              <w:t>reference pixel and the centre of the most distant array</w:t>
            </w:r>
            <w:r w:rsidR="0055093D">
              <w:rPr>
                <w:color w:val="00B0F0"/>
                <w:sz w:val="20"/>
                <w:szCs w:val="20"/>
              </w:rPr>
              <w:t xml:space="preserve">          </w:t>
            </w:r>
            <w:proofErr w:type="gramStart"/>
            <w:r w:rsidR="0055093D" w:rsidRPr="00204DCF">
              <w:rPr>
                <w:b/>
                <w:color w:val="00B050"/>
                <w:sz w:val="20"/>
                <w:szCs w:val="20"/>
              </w:rPr>
              <w:t>{</w:t>
            </w:r>
            <w:r w:rsidR="0055093D">
              <w:rPr>
                <w:b/>
                <w:color w:val="00B050"/>
                <w:sz w:val="20"/>
                <w:szCs w:val="20"/>
              </w:rPr>
              <w:t xml:space="preserve"> p</w:t>
            </w:r>
            <w:proofErr w:type="gramEnd"/>
            <w:r w:rsidR="0055093D">
              <w:rPr>
                <w:b/>
                <w:color w:val="00B050"/>
                <w:sz w:val="20"/>
                <w:szCs w:val="20"/>
              </w:rPr>
              <w:t>. 20?</w:t>
            </w:r>
            <w:r w:rsidR="0055093D" w:rsidRPr="00204DCF">
              <w:rPr>
                <w:b/>
                <w:color w:val="00B050"/>
                <w:sz w:val="20"/>
                <w:szCs w:val="20"/>
              </w:rPr>
              <w:t>}</w:t>
            </w:r>
          </w:p>
        </w:tc>
        <w:tc>
          <w:tcPr>
            <w:tcW w:w="1417" w:type="dxa"/>
          </w:tcPr>
          <w:p w:rsidR="00AA1EE0" w:rsidRPr="00E41FE5" w:rsidRDefault="00AA1EE0" w:rsidP="00AE49E6">
            <w:pPr>
              <w:rPr>
                <w:rFonts w:eastAsia="Arial Unicode MS"/>
                <w:sz w:val="20"/>
                <w:lang w:val="en-GB"/>
              </w:rPr>
            </w:pPr>
            <w:r w:rsidRPr="00E41FE5">
              <w:rPr>
                <w:rFonts w:eastAsia="Arial Unicode MS"/>
                <w:sz w:val="20"/>
                <w:lang w:val="en-GB"/>
              </w:rPr>
              <w:t xml:space="preserve">&lt; </w:t>
            </w:r>
            <w:r w:rsidR="00D355BC">
              <w:rPr>
                <w:rFonts w:eastAsia="Arial Unicode MS"/>
                <w:sz w:val="20"/>
                <w:lang w:val="en-GB"/>
              </w:rPr>
              <w:t>|</w:t>
            </w:r>
            <w:r w:rsidRPr="00E41FE5">
              <w:rPr>
                <w:rFonts w:eastAsia="Arial Unicode MS"/>
                <w:sz w:val="20"/>
                <w:lang w:val="en-GB"/>
              </w:rPr>
              <w:t>0.2 mm</w:t>
            </w:r>
            <w:r w:rsidR="00D355BC">
              <w:rPr>
                <w:rFonts w:eastAsia="Arial Unicode MS"/>
                <w:sz w:val="20"/>
                <w:lang w:val="en-GB"/>
              </w:rPr>
              <w:t>|</w:t>
            </w:r>
          </w:p>
        </w:tc>
        <w:tc>
          <w:tcPr>
            <w:tcW w:w="1985" w:type="dxa"/>
          </w:tcPr>
          <w:p w:rsidR="00AA1EE0" w:rsidRPr="00E41FE5" w:rsidRDefault="00D355BC" w:rsidP="00AE49E6">
            <w:pPr>
              <w:rPr>
                <w:rFonts w:eastAsia="Arial Unicode MS"/>
                <w:sz w:val="20"/>
                <w:lang w:val="en-GB"/>
              </w:rPr>
            </w:pPr>
            <w:r>
              <w:rPr>
                <w:rFonts w:eastAsia="Arial Unicode MS"/>
                <w:color w:val="00B0F0"/>
                <w:sz w:val="20"/>
                <w:lang w:val="en-GB"/>
              </w:rPr>
              <w:t>+</w:t>
            </w:r>
            <w:r w:rsidRPr="00D355BC">
              <w:rPr>
                <w:rFonts w:eastAsia="Arial Unicode MS"/>
                <w:color w:val="00B0F0"/>
                <w:sz w:val="20"/>
                <w:lang w:val="en-GB"/>
              </w:rPr>
              <w:t xml:space="preserve">0.10 </w:t>
            </w:r>
            <w:proofErr w:type="gramStart"/>
            <w:r w:rsidRPr="00D355BC">
              <w:rPr>
                <w:rFonts w:eastAsia="Arial Unicode MS"/>
                <w:color w:val="00B0F0"/>
                <w:sz w:val="20"/>
                <w:lang w:val="en-GB"/>
              </w:rPr>
              <w:t>mm ?</w:t>
            </w:r>
            <w:proofErr w:type="gramEnd"/>
          </w:p>
        </w:tc>
      </w:tr>
      <w:tr w:rsidR="00AA1EE0" w:rsidTr="00697133">
        <w:tc>
          <w:tcPr>
            <w:tcW w:w="7088" w:type="dxa"/>
          </w:tcPr>
          <w:p w:rsidR="00BA631B" w:rsidRPr="00C83B3F" w:rsidRDefault="00AA1EE0" w:rsidP="0055093D">
            <w:pPr>
              <w:rPr>
                <w:rFonts w:eastAsia="Arial Unicode MS"/>
                <w:sz w:val="20"/>
                <w:lang w:val="en-GB"/>
              </w:rPr>
            </w:pPr>
            <w:r w:rsidRPr="00E41FE5">
              <w:rPr>
                <w:rFonts w:eastAsia="Arial Unicode MS"/>
                <w:sz w:val="20"/>
                <w:lang w:val="en-GB"/>
              </w:rPr>
              <w:t>XYZ focus optimization: deviation from the optimum in terms of fraction of</w:t>
            </w:r>
            <w:r w:rsidR="007C7428">
              <w:rPr>
                <w:rFonts w:eastAsia="Arial Unicode MS"/>
                <w:sz w:val="20"/>
                <w:lang w:val="en-GB"/>
              </w:rPr>
              <w:t xml:space="preserve"> power in residuals of beam fit</w:t>
            </w:r>
            <w:r w:rsidR="0055093D">
              <w:rPr>
                <w:rFonts w:eastAsia="Arial Unicode MS"/>
                <w:sz w:val="20"/>
                <w:lang w:val="en-GB"/>
              </w:rPr>
              <w:t xml:space="preserve">          </w:t>
            </w:r>
            <w:r w:rsidR="0055093D">
              <w:rPr>
                <w:b/>
                <w:color w:val="00B050"/>
                <w:sz w:val="20"/>
                <w:szCs w:val="20"/>
              </w:rPr>
              <w:t>{p</w:t>
            </w:r>
            <w:proofErr w:type="gramStart"/>
            <w:r w:rsidR="0055093D">
              <w:rPr>
                <w:b/>
                <w:color w:val="00B050"/>
                <w:sz w:val="20"/>
                <w:szCs w:val="20"/>
              </w:rPr>
              <w:t>. ?</w:t>
            </w:r>
            <w:proofErr w:type="gramEnd"/>
            <w:r w:rsidR="0055093D" w:rsidRPr="00204DCF">
              <w:rPr>
                <w:b/>
                <w:color w:val="00B050"/>
                <w:sz w:val="20"/>
                <w:szCs w:val="20"/>
              </w:rPr>
              <w:t>}</w:t>
            </w:r>
          </w:p>
        </w:tc>
        <w:tc>
          <w:tcPr>
            <w:tcW w:w="1417" w:type="dxa"/>
          </w:tcPr>
          <w:p w:rsidR="00AA1EE0" w:rsidRPr="00E41FE5" w:rsidRDefault="007C7428" w:rsidP="00BA631B">
            <w:pPr>
              <w:rPr>
                <w:rFonts w:eastAsia="Arial Unicode MS"/>
                <w:sz w:val="20"/>
                <w:lang w:val="en-GB"/>
              </w:rPr>
            </w:pPr>
            <w:r>
              <w:rPr>
                <w:rFonts w:eastAsia="Arial Unicode MS"/>
                <w:sz w:val="20"/>
                <w:lang w:val="en-GB"/>
              </w:rPr>
              <w:t>5%</w:t>
            </w:r>
          </w:p>
        </w:tc>
        <w:tc>
          <w:tcPr>
            <w:tcW w:w="1985" w:type="dxa"/>
          </w:tcPr>
          <w:p w:rsidR="00AA1EE0" w:rsidRPr="0094068A" w:rsidRDefault="00C83B3F" w:rsidP="00AE49E6">
            <w:pPr>
              <w:rPr>
                <w:rFonts w:eastAsia="Arial Unicode MS"/>
              </w:rPr>
            </w:pPr>
            <w:r w:rsidRPr="00C83B3F">
              <w:rPr>
                <w:rFonts w:eastAsia="Arial Unicode MS"/>
                <w:color w:val="00B0F0"/>
                <w:sz w:val="20"/>
                <w:lang w:val="en-GB"/>
              </w:rPr>
              <w:t xml:space="preserve">Lateral focus = 0 +/- 0.05 </w:t>
            </w:r>
            <w:proofErr w:type="gramStart"/>
            <w:r w:rsidRPr="00C83B3F">
              <w:rPr>
                <w:rFonts w:eastAsia="Arial Unicode MS"/>
                <w:color w:val="00B0F0"/>
                <w:sz w:val="20"/>
                <w:lang w:val="en-GB"/>
              </w:rPr>
              <w:t>mm</w:t>
            </w:r>
            <w:r w:rsidRPr="00C83B3F">
              <w:rPr>
                <w:rFonts w:eastAsia="Arial Unicode MS"/>
                <w:color w:val="00B0F0"/>
                <w:sz w:val="20"/>
                <w:vertAlign w:val="superscript"/>
                <w:lang w:val="en-GB"/>
              </w:rPr>
              <w:t>(</w:t>
            </w:r>
            <w:proofErr w:type="gramEnd"/>
            <w:r w:rsidRPr="00C83B3F">
              <w:rPr>
                <w:rFonts w:eastAsia="Arial Unicode MS"/>
                <w:color w:val="00B0F0"/>
                <w:sz w:val="20"/>
                <w:vertAlign w:val="superscript"/>
                <w:lang w:val="en-GB"/>
              </w:rPr>
              <w:t>9)</w:t>
            </w:r>
            <w:r w:rsidR="0094068A" w:rsidRPr="00C83B3F">
              <w:rPr>
                <w:rFonts w:eastAsia="Arial Unicode MS"/>
                <w:color w:val="00B0F0"/>
                <w:sz w:val="20"/>
                <w:lang w:val="en-GB"/>
              </w:rPr>
              <w:t xml:space="preserve"> </w:t>
            </w:r>
            <w:r w:rsidR="0094068A">
              <w:rPr>
                <w:rFonts w:eastAsia="Arial Unicode MS"/>
                <w:color w:val="00B0F0"/>
                <w:sz w:val="20"/>
                <w:lang w:val="en-GB"/>
              </w:rPr>
              <w:t>?</w:t>
            </w:r>
          </w:p>
        </w:tc>
      </w:tr>
      <w:tr w:rsidR="00977513" w:rsidTr="00697133">
        <w:tc>
          <w:tcPr>
            <w:tcW w:w="7088" w:type="dxa"/>
          </w:tcPr>
          <w:p w:rsidR="00977513" w:rsidRPr="00C83B3F" w:rsidRDefault="00977513" w:rsidP="00F04D4D">
            <w:pPr>
              <w:rPr>
                <w:rFonts w:eastAsia="Arial Unicode MS"/>
                <w:b/>
                <w:sz w:val="20"/>
                <w:lang w:val="en-GB"/>
              </w:rPr>
            </w:pPr>
            <w:r w:rsidRPr="00215082">
              <w:rPr>
                <w:rFonts w:eastAsia="Arial Unicode MS"/>
                <w:b/>
                <w:sz w:val="20"/>
                <w:lang w:val="en-GB"/>
              </w:rPr>
              <w:t xml:space="preserve">Instrument internal NEFD and stability </w:t>
            </w:r>
            <w:r>
              <w:rPr>
                <w:rFonts w:eastAsia="Arial Unicode MS"/>
                <w:b/>
                <w:sz w:val="20"/>
                <w:lang w:val="en-GB"/>
              </w:rPr>
              <w:t>demonstrated through dark tests</w:t>
            </w:r>
          </w:p>
        </w:tc>
        <w:tc>
          <w:tcPr>
            <w:tcW w:w="3402" w:type="dxa"/>
            <w:gridSpan w:val="2"/>
          </w:tcPr>
          <w:p w:rsidR="00977513" w:rsidRPr="00E41FE5" w:rsidRDefault="00977513" w:rsidP="00977513">
            <w:pPr>
              <w:rPr>
                <w:rFonts w:eastAsia="Arial Unicode MS"/>
                <w:sz w:val="20"/>
                <w:lang w:val="en-GB"/>
              </w:rPr>
            </w:pPr>
            <w:r w:rsidRPr="00977513">
              <w:rPr>
                <w:rFonts w:eastAsia="Arial Unicode MS"/>
                <w:color w:val="31849B" w:themeColor="accent5" w:themeShade="BF"/>
                <w:sz w:val="20"/>
                <w:lang w:val="en-GB"/>
              </w:rPr>
              <w:t>If not available for phase 1 review please give an explanation</w:t>
            </w:r>
          </w:p>
        </w:tc>
      </w:tr>
      <w:tr w:rsidR="00596573" w:rsidTr="00697133">
        <w:tc>
          <w:tcPr>
            <w:tcW w:w="7088" w:type="dxa"/>
          </w:tcPr>
          <w:p w:rsidR="00596573" w:rsidRPr="00C83B3F" w:rsidRDefault="00596573" w:rsidP="00465C82">
            <w:pPr>
              <w:rPr>
                <w:rFonts w:eastAsia="Arial Unicode MS"/>
                <w:sz w:val="20"/>
                <w:lang w:val="en-GB"/>
              </w:rPr>
            </w:pPr>
            <w:r w:rsidRPr="00E41FE5">
              <w:rPr>
                <w:rFonts w:eastAsia="Arial Unicode MS"/>
                <w:sz w:val="20"/>
                <w:lang w:val="en-GB"/>
              </w:rPr>
              <w:t>Diffuse emission recovery</w:t>
            </w:r>
            <w:r>
              <w:rPr>
                <w:rFonts w:eastAsia="Arial Unicode MS"/>
                <w:sz w:val="20"/>
                <w:vertAlign w:val="superscript"/>
                <w:lang w:val="en-GB"/>
              </w:rPr>
              <w:t>(6)</w:t>
            </w:r>
            <w:r w:rsidRPr="00E41FE5">
              <w:rPr>
                <w:rFonts w:eastAsia="Arial Unicode MS"/>
                <w:sz w:val="20"/>
                <w:lang w:val="en-GB"/>
              </w:rPr>
              <w:t>, comparison of a known source maps with literature</w:t>
            </w:r>
          </w:p>
        </w:tc>
        <w:tc>
          <w:tcPr>
            <w:tcW w:w="3402" w:type="dxa"/>
            <w:gridSpan w:val="2"/>
          </w:tcPr>
          <w:p w:rsidR="00596573" w:rsidRPr="00977513" w:rsidRDefault="00596573" w:rsidP="00AE49E6">
            <w:pPr>
              <w:rPr>
                <w:rFonts w:eastAsia="Arial Unicode MS"/>
                <w:color w:val="31849B" w:themeColor="accent5" w:themeShade="BF"/>
                <w:sz w:val="20"/>
                <w:lang w:val="en-GB"/>
              </w:rPr>
            </w:pPr>
            <w:r w:rsidRPr="00977513">
              <w:rPr>
                <w:rFonts w:eastAsia="Arial Unicode MS"/>
                <w:color w:val="31849B" w:themeColor="accent5" w:themeShade="BF"/>
                <w:sz w:val="20"/>
                <w:lang w:val="en-GB"/>
              </w:rPr>
              <w:t xml:space="preserve">Not necessary for phase 1 review </w:t>
            </w:r>
          </w:p>
        </w:tc>
      </w:tr>
      <w:tr w:rsidR="004603BE" w:rsidTr="00697133">
        <w:tc>
          <w:tcPr>
            <w:tcW w:w="7088" w:type="dxa"/>
          </w:tcPr>
          <w:p w:rsidR="00BA3E05" w:rsidRPr="00C83B3F" w:rsidRDefault="004603BE" w:rsidP="007060C9">
            <w:pPr>
              <w:rPr>
                <w:rFonts w:eastAsia="Arial Unicode MS"/>
                <w:sz w:val="20"/>
                <w:vertAlign w:val="superscript"/>
                <w:lang w:val="en-GB"/>
              </w:rPr>
            </w:pPr>
            <w:r w:rsidRPr="00E41FE5">
              <w:rPr>
                <w:rFonts w:eastAsia="Arial Unicode MS"/>
                <w:sz w:val="20"/>
                <w:lang w:val="en-GB"/>
              </w:rPr>
              <w:t>Software or list of software that will allow processing of science scans for G</w:t>
            </w:r>
            <w:r w:rsidR="007060C9">
              <w:rPr>
                <w:rFonts w:eastAsia="Arial Unicode MS"/>
                <w:sz w:val="20"/>
                <w:lang w:val="en-GB"/>
              </w:rPr>
              <w:t xml:space="preserve">uaranteed </w:t>
            </w:r>
            <w:r w:rsidRPr="00E41FE5">
              <w:rPr>
                <w:rFonts w:eastAsia="Arial Unicode MS"/>
                <w:sz w:val="20"/>
                <w:lang w:val="en-GB"/>
              </w:rPr>
              <w:t>T</w:t>
            </w:r>
            <w:r w:rsidR="007060C9">
              <w:rPr>
                <w:rFonts w:eastAsia="Arial Unicode MS"/>
                <w:sz w:val="20"/>
                <w:lang w:val="en-GB"/>
              </w:rPr>
              <w:t>ime</w:t>
            </w:r>
            <w:r w:rsidRPr="00E41FE5">
              <w:rPr>
                <w:rFonts w:eastAsia="Arial Unicode MS"/>
                <w:sz w:val="20"/>
                <w:lang w:val="en-GB"/>
              </w:rPr>
              <w:t xml:space="preserve"> observation and Open </w:t>
            </w:r>
            <w:r w:rsidR="007060C9">
              <w:rPr>
                <w:rFonts w:eastAsia="Arial Unicode MS"/>
                <w:sz w:val="20"/>
                <w:lang w:val="en-GB"/>
              </w:rPr>
              <w:t xml:space="preserve">Time </w:t>
            </w:r>
            <w:r w:rsidRPr="00E41FE5">
              <w:rPr>
                <w:rFonts w:eastAsia="Arial Unicode MS"/>
                <w:sz w:val="20"/>
                <w:lang w:val="en-GB"/>
              </w:rPr>
              <w:t>observations</w:t>
            </w:r>
            <w:r w:rsidR="00F8070F">
              <w:rPr>
                <w:rFonts w:eastAsia="Arial Unicode MS"/>
                <w:sz w:val="20"/>
                <w:vertAlign w:val="superscript"/>
                <w:lang w:val="en-GB"/>
              </w:rPr>
              <w:t>(7)</w:t>
            </w:r>
          </w:p>
        </w:tc>
        <w:tc>
          <w:tcPr>
            <w:tcW w:w="3402" w:type="dxa"/>
            <w:gridSpan w:val="2"/>
          </w:tcPr>
          <w:p w:rsidR="004603BE" w:rsidRPr="00977513" w:rsidRDefault="00596573" w:rsidP="00AE49E6">
            <w:pPr>
              <w:rPr>
                <w:rFonts w:eastAsia="Arial Unicode MS"/>
                <w:color w:val="31849B" w:themeColor="accent5" w:themeShade="BF"/>
                <w:sz w:val="20"/>
                <w:lang w:val="en-GB"/>
              </w:rPr>
            </w:pPr>
            <w:r w:rsidRPr="00977513">
              <w:rPr>
                <w:rFonts w:eastAsia="Arial Unicode MS"/>
                <w:color w:val="31849B" w:themeColor="accent5" w:themeShade="BF"/>
                <w:sz w:val="20"/>
                <w:lang w:val="en-GB"/>
              </w:rPr>
              <w:t>Not necessary for phase 1 review</w:t>
            </w:r>
            <w:r w:rsidR="000557EB">
              <w:rPr>
                <w:rFonts w:eastAsia="Arial Unicode MS"/>
                <w:color w:val="31849B" w:themeColor="accent5" w:themeShade="BF"/>
                <w:sz w:val="20"/>
                <w:lang w:val="en-GB"/>
              </w:rPr>
              <w:t xml:space="preserve">, </w:t>
            </w:r>
            <w:r w:rsidR="00287410">
              <w:rPr>
                <w:rFonts w:eastAsia="Arial Unicode MS"/>
                <w:color w:val="31849B" w:themeColor="accent5" w:themeShade="BF"/>
                <w:sz w:val="20"/>
                <w:lang w:val="en-GB"/>
              </w:rPr>
              <w:t>but see reference document for status</w:t>
            </w:r>
            <w:bookmarkStart w:id="0" w:name="_GoBack"/>
            <w:bookmarkEnd w:id="0"/>
          </w:p>
        </w:tc>
      </w:tr>
    </w:tbl>
    <w:p w:rsidR="00CB3112" w:rsidRPr="004603BE" w:rsidRDefault="00CB3112" w:rsidP="00AE49E6">
      <w:pPr>
        <w:rPr>
          <w:rFonts w:eastAsia="Arial Unicode MS"/>
        </w:rPr>
      </w:pPr>
    </w:p>
    <w:p w:rsidR="007A335D" w:rsidRDefault="00CB3112"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sidR="00121D35">
        <w:rPr>
          <w:rFonts w:ascii="Calibri" w:eastAsia="Arial Unicode MS" w:hAnsi="Calibri" w:cs="Tahoma"/>
          <w:sz w:val="20"/>
          <w:vertAlign w:val="superscript"/>
          <w:lang w:val="en-GB"/>
        </w:rPr>
        <w:t>4</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w:t>
      </w:r>
      <w:r w:rsidR="00465C82">
        <w:rPr>
          <w:rFonts w:ascii="Calibri" w:eastAsia="Arial Unicode MS" w:hAnsi="Calibri" w:cs="Tahoma"/>
          <w:sz w:val="20"/>
          <w:lang w:val="en-GB"/>
        </w:rPr>
        <w:t>F</w:t>
      </w:r>
      <w:r>
        <w:rPr>
          <w:rFonts w:ascii="Calibri" w:eastAsia="Arial Unicode MS" w:hAnsi="Calibri" w:cs="Tahoma"/>
          <w:sz w:val="20"/>
          <w:lang w:val="en-GB"/>
        </w:rPr>
        <w:t xml:space="preserve">or meaningful </w:t>
      </w:r>
      <w:r w:rsidR="004603BE">
        <w:rPr>
          <w:rFonts w:ascii="Calibri" w:eastAsia="Arial Unicode MS" w:hAnsi="Calibri" w:cs="Tahoma"/>
          <w:sz w:val="20"/>
          <w:lang w:val="en-GB"/>
        </w:rPr>
        <w:t>values, the considered period must contain at least 10 independent scans during which the atmosphere opacity must h</w:t>
      </w:r>
      <w:r w:rsidR="00465C82">
        <w:rPr>
          <w:rFonts w:ascii="Calibri" w:eastAsia="Arial Unicode MS" w:hAnsi="Calibri" w:cs="Tahoma"/>
          <w:sz w:val="20"/>
          <w:lang w:val="en-GB"/>
        </w:rPr>
        <w:t>ave changed by less than +/-0.1.</w:t>
      </w:r>
    </w:p>
    <w:p w:rsidR="007060C9" w:rsidRDefault="007060C9"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Pr>
          <w:rFonts w:ascii="Calibri" w:eastAsia="Arial Unicode MS" w:hAnsi="Calibri" w:cs="Tahoma"/>
          <w:sz w:val="20"/>
          <w:vertAlign w:val="superscript"/>
          <w:lang w:val="en-GB"/>
        </w:rPr>
        <w:t>5</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gain elevation efficiency is mainly a telescope property, but its precise value depend</w:t>
      </w:r>
      <w:r w:rsidR="00935A1C">
        <w:rPr>
          <w:rFonts w:ascii="Calibri" w:eastAsia="Arial Unicode MS" w:hAnsi="Calibri" w:cs="Tahoma"/>
          <w:sz w:val="20"/>
          <w:lang w:val="en-GB"/>
        </w:rPr>
        <w:t>s</w:t>
      </w:r>
      <w:r>
        <w:rPr>
          <w:rFonts w:ascii="Calibri" w:eastAsia="Arial Unicode MS" w:hAnsi="Calibri" w:cs="Tahoma"/>
          <w:sz w:val="20"/>
          <w:lang w:val="en-GB"/>
        </w:rPr>
        <w:t xml:space="preserve"> on the illumination of the primary mirror by the instrument. An accurate determination </w:t>
      </w:r>
      <w:r w:rsidR="00935A1C">
        <w:rPr>
          <w:rFonts w:ascii="Calibri" w:eastAsia="Arial Unicode MS" w:hAnsi="Calibri" w:cs="Tahoma"/>
          <w:sz w:val="20"/>
          <w:lang w:val="en-GB"/>
        </w:rPr>
        <w:t xml:space="preserve">is necessary for high </w:t>
      </w:r>
      <w:r>
        <w:rPr>
          <w:rFonts w:ascii="Calibri" w:eastAsia="Arial Unicode MS" w:hAnsi="Calibri" w:cs="Tahoma"/>
          <w:sz w:val="20"/>
          <w:lang w:val="en-GB"/>
        </w:rPr>
        <w:t>photometry performances.</w:t>
      </w:r>
    </w:p>
    <w:p w:rsidR="00D02107" w:rsidRDefault="00D02107"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sidR="007060C9">
        <w:rPr>
          <w:rFonts w:ascii="Calibri" w:eastAsia="Arial Unicode MS" w:hAnsi="Calibri" w:cs="Tahoma"/>
          <w:sz w:val="20"/>
          <w:vertAlign w:val="superscript"/>
          <w:lang w:val="en-GB"/>
        </w:rPr>
        <w:t>6</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diffuse emission recovery characterisation is not part of the phase 1 of the commissioning; it will be addressed during the phase 2.</w:t>
      </w:r>
    </w:p>
    <w:p w:rsidR="00F8070F" w:rsidRDefault="00F8070F" w:rsidP="00F8070F">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Pr>
          <w:rFonts w:ascii="Calibri" w:eastAsia="Arial Unicode MS" w:hAnsi="Calibri" w:cs="Tahoma"/>
          <w:sz w:val="20"/>
          <w:vertAlign w:val="superscript"/>
          <w:lang w:val="en-GB"/>
        </w:rPr>
        <w:t>7</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reference document for this relatively broad entry will have to identify 2 </w:t>
      </w:r>
      <w:r w:rsidRPr="00F8070F">
        <w:rPr>
          <w:rFonts w:ascii="Calibri" w:eastAsia="Arial Unicode MS" w:hAnsi="Calibri" w:cs="Tahoma"/>
          <w:sz w:val="20"/>
          <w:lang w:val="en-GB"/>
        </w:rPr>
        <w:t>possible stumbling blocks:</w:t>
      </w:r>
      <w:r>
        <w:rPr>
          <w:rFonts w:ascii="Calibri" w:eastAsia="Arial Unicode MS" w:hAnsi="Calibri" w:cs="Tahoma"/>
          <w:sz w:val="20"/>
          <w:lang w:val="en-GB"/>
        </w:rPr>
        <w:t xml:space="preserve"> [</w:t>
      </w:r>
      <w:r w:rsidRPr="00F8070F">
        <w:rPr>
          <w:rFonts w:ascii="Calibri" w:eastAsia="Arial Unicode MS" w:hAnsi="Calibri" w:cs="Tahoma"/>
          <w:sz w:val="20"/>
          <w:lang w:val="en-GB"/>
        </w:rPr>
        <w:t>1</w:t>
      </w:r>
      <w:r>
        <w:rPr>
          <w:rFonts w:ascii="Calibri" w:eastAsia="Arial Unicode MS" w:hAnsi="Calibri" w:cs="Tahoma"/>
          <w:sz w:val="20"/>
          <w:lang w:val="en-GB"/>
        </w:rPr>
        <w:t>]</w:t>
      </w:r>
      <w:r w:rsidRPr="00F8070F">
        <w:rPr>
          <w:rFonts w:ascii="Calibri" w:eastAsia="Arial Unicode MS" w:hAnsi="Calibri" w:cs="Tahoma"/>
          <w:sz w:val="20"/>
          <w:lang w:val="en-GB"/>
        </w:rPr>
        <w:t xml:space="preserve"> Software to process data online: reduce scans of pointing, focus, </w:t>
      </w:r>
      <w:proofErr w:type="spellStart"/>
      <w:r w:rsidRPr="00F8070F">
        <w:rPr>
          <w:rFonts w:ascii="Calibri" w:eastAsia="Arial Unicode MS" w:hAnsi="Calibri" w:cs="Tahoma"/>
          <w:sz w:val="20"/>
          <w:lang w:val="en-GB"/>
        </w:rPr>
        <w:t>skydip</w:t>
      </w:r>
      <w:proofErr w:type="spellEnd"/>
      <w:r w:rsidRPr="00F8070F">
        <w:rPr>
          <w:rFonts w:ascii="Calibri" w:eastAsia="Arial Unicode MS" w:hAnsi="Calibri" w:cs="Tahoma"/>
          <w:sz w:val="20"/>
          <w:lang w:val="en-GB"/>
        </w:rPr>
        <w:t>, beam maps to provide information to observers on data quality and on how to continue observing. This software also provides a quick view of maps on science targets.</w:t>
      </w:r>
      <w:r>
        <w:rPr>
          <w:rFonts w:ascii="Calibri" w:eastAsia="Arial Unicode MS" w:hAnsi="Calibri" w:cs="Tahoma"/>
          <w:sz w:val="20"/>
          <w:lang w:val="en-GB"/>
        </w:rPr>
        <w:t xml:space="preserve"> [</w:t>
      </w:r>
      <w:r w:rsidRPr="00F8070F">
        <w:rPr>
          <w:rFonts w:ascii="Calibri" w:eastAsia="Arial Unicode MS" w:hAnsi="Calibri" w:cs="Tahoma"/>
          <w:sz w:val="20"/>
          <w:lang w:val="en-GB"/>
        </w:rPr>
        <w:t>2</w:t>
      </w:r>
      <w:r>
        <w:rPr>
          <w:rFonts w:ascii="Calibri" w:eastAsia="Arial Unicode MS" w:hAnsi="Calibri" w:cs="Tahoma"/>
          <w:sz w:val="20"/>
          <w:lang w:val="en-GB"/>
        </w:rPr>
        <w:t xml:space="preserve">] </w:t>
      </w:r>
      <w:r w:rsidRPr="00F8070F">
        <w:rPr>
          <w:rFonts w:ascii="Calibri" w:eastAsia="Arial Unicode MS" w:hAnsi="Calibri" w:cs="Tahoma"/>
          <w:sz w:val="20"/>
          <w:lang w:val="en-GB"/>
        </w:rPr>
        <w:t>Software to reduce all data offline and provide a preliminary version of *calibrated* maps (corrected for flat fields, atmospheric transmission</w:t>
      </w:r>
      <w:r>
        <w:rPr>
          <w:rFonts w:ascii="Calibri" w:eastAsia="Arial Unicode MS" w:hAnsi="Calibri" w:cs="Tahoma"/>
          <w:sz w:val="20"/>
          <w:lang w:val="en-GB"/>
        </w:rPr>
        <w:t>,</w:t>
      </w:r>
      <w:r w:rsidRPr="00F8070F">
        <w:rPr>
          <w:rFonts w:ascii="Calibri" w:eastAsia="Arial Unicode MS" w:hAnsi="Calibri" w:cs="Tahoma"/>
          <w:sz w:val="20"/>
          <w:lang w:val="en-GB"/>
        </w:rPr>
        <w:t xml:space="preserve"> etc.).</w:t>
      </w:r>
      <w:r>
        <w:rPr>
          <w:rFonts w:ascii="Calibri" w:eastAsia="Arial Unicode MS" w:hAnsi="Calibri" w:cs="Tahoma"/>
          <w:sz w:val="20"/>
          <w:lang w:val="en-GB"/>
        </w:rPr>
        <w:t xml:space="preserve"> The production </w:t>
      </w:r>
      <w:r w:rsidRPr="00F8070F">
        <w:rPr>
          <w:rFonts w:ascii="Calibri" w:eastAsia="Arial Unicode MS" w:hAnsi="Calibri" w:cs="Tahoma"/>
          <w:sz w:val="20"/>
          <w:lang w:val="en-GB"/>
        </w:rPr>
        <w:t>of final data products is not the aim for phase 1</w:t>
      </w:r>
      <w:r>
        <w:rPr>
          <w:rFonts w:ascii="Calibri" w:eastAsia="Arial Unicode MS" w:hAnsi="Calibri" w:cs="Tahoma"/>
          <w:sz w:val="20"/>
          <w:lang w:val="en-GB"/>
        </w:rPr>
        <w:t>.</w:t>
      </w:r>
    </w:p>
    <w:p w:rsidR="00A96B6B" w:rsidRDefault="00BA631B" w:rsidP="00AE49E6">
      <w:pPr>
        <w:rPr>
          <w:rFonts w:ascii="Calibri" w:eastAsia="Arial Unicode MS" w:hAnsi="Calibri" w:cs="Tahoma"/>
          <w:sz w:val="20"/>
          <w:lang w:val="en-GB"/>
        </w:rPr>
      </w:pPr>
      <w:r w:rsidRPr="00C83B3F">
        <w:rPr>
          <w:rFonts w:ascii="Calibri" w:eastAsia="Arial Unicode MS" w:hAnsi="Calibri" w:cs="Tahoma"/>
          <w:sz w:val="20"/>
          <w:vertAlign w:val="superscript"/>
          <w:lang w:val="en-GB"/>
        </w:rPr>
        <w:t>(8)</w:t>
      </w:r>
      <w:r w:rsidRPr="00C83B3F">
        <w:rPr>
          <w:rFonts w:ascii="Calibri" w:eastAsia="Arial Unicode MS" w:hAnsi="Calibri" w:cs="Tahoma"/>
          <w:sz w:val="20"/>
          <w:lang w:val="en-GB"/>
        </w:rPr>
        <w:t xml:space="preserve"> These values are not requirements, but just indications of what we would typically expect, what matters most is not the value itself but that these parameters have been investigated during the commissioning.</w:t>
      </w:r>
    </w:p>
    <w:p w:rsidR="00C83B3F" w:rsidRPr="00C83B3F" w:rsidRDefault="00C83B3F" w:rsidP="00AE49E6">
      <w:pPr>
        <w:rPr>
          <w:rFonts w:ascii="Calibri" w:eastAsia="Arial Unicode MS" w:hAnsi="Calibri" w:cs="Tahoma"/>
          <w:sz w:val="20"/>
          <w:vertAlign w:val="superscript"/>
          <w:lang w:val="en-GB"/>
        </w:rPr>
      </w:pPr>
      <w:r>
        <w:rPr>
          <w:rFonts w:ascii="Calibri" w:eastAsia="Arial Unicode MS" w:hAnsi="Calibri" w:cs="Tahoma"/>
          <w:sz w:val="20"/>
          <w:vertAlign w:val="superscript"/>
          <w:lang w:val="en-GB"/>
        </w:rPr>
        <w:t>(9)</w:t>
      </w:r>
      <w:r w:rsidR="00596573" w:rsidRPr="00596573">
        <w:rPr>
          <w:rFonts w:ascii="Calibri" w:eastAsia="Arial Unicode MS" w:hAnsi="Calibri" w:cs="Tahoma"/>
          <w:sz w:val="20"/>
          <w:lang w:val="en-GB"/>
        </w:rPr>
        <w:t xml:space="preserve"> </w:t>
      </w:r>
      <w:r w:rsidR="00596573">
        <w:rPr>
          <w:rFonts w:ascii="Calibri" w:eastAsia="Arial Unicode MS" w:hAnsi="Calibri" w:cs="Tahoma"/>
          <w:sz w:val="20"/>
          <w:lang w:val="en-GB"/>
        </w:rPr>
        <w:t>Require extremely high instrument &amp; sky stability for reliable determination: such conditions have never been met over the 10 test runs.</w:t>
      </w:r>
    </w:p>
    <w:p w:rsidR="00611DAA" w:rsidRDefault="00611DAA" w:rsidP="00AE49E6">
      <w:pPr>
        <w:rPr>
          <w:rFonts w:ascii="Calibri" w:eastAsia="Arial Unicode MS" w:hAnsi="Calibri" w:cs="Tahoma"/>
          <w:color w:val="00B050"/>
          <w:sz w:val="20"/>
          <w:lang w:val="en-GB"/>
        </w:rPr>
      </w:pPr>
    </w:p>
    <w:p w:rsidR="00BD1DB9" w:rsidRDefault="00287410" w:rsidP="00A96B6B">
      <w:pPr>
        <w:pStyle w:val="Paragraphedeliste"/>
        <w:numPr>
          <w:ilvl w:val="0"/>
          <w:numId w:val="38"/>
        </w:numPr>
        <w:rPr>
          <w:rFonts w:ascii="Calibri" w:eastAsia="Arial Unicode MS" w:hAnsi="Calibri" w:cs="Tahoma"/>
          <w:color w:val="00B050"/>
          <w:sz w:val="20"/>
          <w:lang w:val="en-GB"/>
        </w:rPr>
      </w:pPr>
      <w:hyperlink r:id="rId7" w:history="1">
        <w:r w:rsidR="00BD1DB9" w:rsidRPr="00D84BC6">
          <w:rPr>
            <w:rStyle w:val="Lienhypertexte"/>
            <w:rFonts w:ascii="Calibri" w:eastAsia="Arial Unicode MS" w:hAnsi="Calibri" w:cs="Tahoma"/>
            <w:sz w:val="20"/>
            <w:lang w:val="en-GB"/>
          </w:rPr>
          <w:t>http://www.iram.fr/wiki/nika2/index.php/File:PPS_Synchronization.pdf</w:t>
        </w:r>
      </w:hyperlink>
    </w:p>
    <w:p w:rsidR="00A96B6B" w:rsidRPr="00611DAA" w:rsidRDefault="00287410" w:rsidP="00611DAA">
      <w:pPr>
        <w:pStyle w:val="Paragraphedeliste"/>
        <w:numPr>
          <w:ilvl w:val="0"/>
          <w:numId w:val="38"/>
        </w:numPr>
        <w:rPr>
          <w:rFonts w:ascii="Calibri" w:eastAsia="Arial Unicode MS" w:hAnsi="Calibri" w:cs="Tahoma"/>
          <w:color w:val="00B050"/>
          <w:sz w:val="20"/>
          <w:lang w:val="en-GB"/>
        </w:rPr>
      </w:pPr>
      <w:hyperlink r:id="rId8" w:history="1">
        <w:r w:rsidR="00A96B6B" w:rsidRPr="00D84BC6">
          <w:rPr>
            <w:rStyle w:val="Lienhypertexte"/>
            <w:rFonts w:ascii="Calibri" w:eastAsia="Arial Unicode MS" w:hAnsi="Calibri" w:cs="Tahoma"/>
            <w:sz w:val="20"/>
            <w:lang w:val="en-GB"/>
          </w:rPr>
          <w:t>http://www.iram.fr/wiki/nika2/index.php/June_15,_2016,_FXD,_KID_position_mapping_and_Field_distortion</w:t>
        </w:r>
      </w:hyperlink>
    </w:p>
    <w:sectPr w:rsidR="00A96B6B" w:rsidRPr="00611DAA" w:rsidSect="00B75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422A97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A43072"/>
    <w:multiLevelType w:val="hybridMultilevel"/>
    <w:tmpl w:val="6AD0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135B21"/>
    <w:multiLevelType w:val="hybridMultilevel"/>
    <w:tmpl w:val="1FC89986"/>
    <w:lvl w:ilvl="0" w:tplc="9F64275A">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94C"/>
    <w:multiLevelType w:val="hybridMultilevel"/>
    <w:tmpl w:val="FABA6BF4"/>
    <w:lvl w:ilvl="0" w:tplc="BE3206F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842E4A"/>
    <w:multiLevelType w:val="hybridMultilevel"/>
    <w:tmpl w:val="0F44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A4BCE"/>
    <w:multiLevelType w:val="hybridMultilevel"/>
    <w:tmpl w:val="BF42DFFA"/>
    <w:lvl w:ilvl="0" w:tplc="AE80E686">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2200A6"/>
    <w:multiLevelType w:val="hybridMultilevel"/>
    <w:tmpl w:val="295A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A6A76"/>
    <w:multiLevelType w:val="hybridMultilevel"/>
    <w:tmpl w:val="F7C4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038E6"/>
    <w:multiLevelType w:val="hybridMultilevel"/>
    <w:tmpl w:val="1CC41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EC7EF5"/>
    <w:multiLevelType w:val="hybridMultilevel"/>
    <w:tmpl w:val="9F20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E625F"/>
    <w:multiLevelType w:val="hybridMultilevel"/>
    <w:tmpl w:val="3F82C044"/>
    <w:lvl w:ilvl="0" w:tplc="B898258E">
      <w:numFmt w:val="bullet"/>
      <w:lvlText w:val="-"/>
      <w:lvlJc w:val="left"/>
      <w:pPr>
        <w:ind w:left="720" w:hanging="360"/>
      </w:pPr>
      <w:rPr>
        <w:rFonts w:ascii="Times New Roman" w:eastAsia="Times New Roman" w:hAnsi="Times New Roman" w:cs="Times New Roman"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910C76"/>
    <w:multiLevelType w:val="hybridMultilevel"/>
    <w:tmpl w:val="62B65F2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11D7110"/>
    <w:multiLevelType w:val="hybridMultilevel"/>
    <w:tmpl w:val="8214C0CC"/>
    <w:lvl w:ilvl="0" w:tplc="B2F628AA">
      <w:numFmt w:val="bullet"/>
      <w:lvlText w:val=""/>
      <w:lvlJc w:val="left"/>
      <w:pPr>
        <w:ind w:left="720" w:hanging="360"/>
      </w:pPr>
      <w:rPr>
        <w:rFonts w:ascii="Wingdings" w:eastAsia="Arial Unicode MS"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A7176"/>
    <w:multiLevelType w:val="hybridMultilevel"/>
    <w:tmpl w:val="4C364CF6"/>
    <w:lvl w:ilvl="0" w:tplc="AE80E686">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4">
    <w:nsid w:val="33A466F4"/>
    <w:multiLevelType w:val="hybridMultilevel"/>
    <w:tmpl w:val="D1E00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D755B7"/>
    <w:multiLevelType w:val="hybridMultilevel"/>
    <w:tmpl w:val="3880D580"/>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645E03"/>
    <w:multiLevelType w:val="hybridMultilevel"/>
    <w:tmpl w:val="2078249C"/>
    <w:lvl w:ilvl="0" w:tplc="9CC6E24C">
      <w:start w:val="1"/>
      <w:numFmt w:val="bullet"/>
      <w:lvlText w:val="-"/>
      <w:lvlJc w:val="left"/>
      <w:pPr>
        <w:ind w:left="720" w:hanging="360"/>
      </w:pPr>
      <w:rPr>
        <w:rFonts w:ascii="Times New Roman" w:eastAsia="Arial Unicode MS" w:hAnsi="Times New Roman" w:cs="Times New Roman" w:hint="default"/>
        <w:sz w:val="18"/>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E15FAC"/>
    <w:multiLevelType w:val="hybridMultilevel"/>
    <w:tmpl w:val="1DA0C512"/>
    <w:lvl w:ilvl="0" w:tplc="4F5CD9C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B0A5F"/>
    <w:multiLevelType w:val="hybridMultilevel"/>
    <w:tmpl w:val="60C6E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9021E"/>
    <w:multiLevelType w:val="hybridMultilevel"/>
    <w:tmpl w:val="EDA46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DD51C3"/>
    <w:multiLevelType w:val="hybridMultilevel"/>
    <w:tmpl w:val="1422E13A"/>
    <w:lvl w:ilvl="0" w:tplc="3A96DE7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EA3F00"/>
    <w:multiLevelType w:val="hybridMultilevel"/>
    <w:tmpl w:val="EEFCE3A6"/>
    <w:lvl w:ilvl="0" w:tplc="D6762BB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B09A3"/>
    <w:multiLevelType w:val="hybridMultilevel"/>
    <w:tmpl w:val="F89C2910"/>
    <w:lvl w:ilvl="0" w:tplc="BEA6634C">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F5113"/>
    <w:multiLevelType w:val="hybridMultilevel"/>
    <w:tmpl w:val="C1D0ED04"/>
    <w:lvl w:ilvl="0" w:tplc="5DD294A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129C5"/>
    <w:multiLevelType w:val="hybridMultilevel"/>
    <w:tmpl w:val="73C49DBE"/>
    <w:lvl w:ilvl="0" w:tplc="4214523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615365"/>
    <w:multiLevelType w:val="hybridMultilevel"/>
    <w:tmpl w:val="0F847D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7C6679"/>
    <w:multiLevelType w:val="hybridMultilevel"/>
    <w:tmpl w:val="D01C823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564CAC"/>
    <w:multiLevelType w:val="hybridMultilevel"/>
    <w:tmpl w:val="F7F4E110"/>
    <w:lvl w:ilvl="0" w:tplc="55BEBB5A">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91B39A4"/>
    <w:multiLevelType w:val="hybridMultilevel"/>
    <w:tmpl w:val="FDFC6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0875F1"/>
    <w:multiLevelType w:val="hybridMultilevel"/>
    <w:tmpl w:val="F81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139EF"/>
    <w:multiLevelType w:val="hybridMultilevel"/>
    <w:tmpl w:val="331406C6"/>
    <w:lvl w:ilvl="0" w:tplc="1FDC7FEE">
      <w:numFmt w:val="bullet"/>
      <w:lvlText w:val=""/>
      <w:lvlJc w:val="left"/>
      <w:pPr>
        <w:ind w:left="720" w:hanging="360"/>
      </w:pPr>
      <w:rPr>
        <w:rFonts w:ascii="Wingdings" w:eastAsia="Arial Unicode MS"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17FE2"/>
    <w:multiLevelType w:val="hybridMultilevel"/>
    <w:tmpl w:val="020490E0"/>
    <w:lvl w:ilvl="0" w:tplc="69A684A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97161"/>
    <w:multiLevelType w:val="hybridMultilevel"/>
    <w:tmpl w:val="F95A8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F0A1D9E"/>
    <w:multiLevelType w:val="hybridMultilevel"/>
    <w:tmpl w:val="D9809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037775"/>
    <w:multiLevelType w:val="hybridMultilevel"/>
    <w:tmpl w:val="BADE8BBE"/>
    <w:lvl w:ilvl="0" w:tplc="6562F20E">
      <w:start w:val="1"/>
      <w:numFmt w:val="upperRoman"/>
      <w:lvlText w:val="(%1)"/>
      <w:lvlJc w:val="left"/>
      <w:pPr>
        <w:ind w:left="1146" w:hanging="72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72A55"/>
    <w:multiLevelType w:val="hybridMultilevel"/>
    <w:tmpl w:val="FE3C00C4"/>
    <w:lvl w:ilvl="0" w:tplc="DBF27AF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F165FD"/>
    <w:multiLevelType w:val="hybridMultilevel"/>
    <w:tmpl w:val="B1CA35B4"/>
    <w:lvl w:ilvl="0" w:tplc="4F5CD9C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D1F63"/>
    <w:multiLevelType w:val="hybridMultilevel"/>
    <w:tmpl w:val="C478A372"/>
    <w:lvl w:ilvl="0" w:tplc="131456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13"/>
  </w:num>
  <w:num w:numId="4">
    <w:abstractNumId w:val="11"/>
  </w:num>
  <w:num w:numId="5">
    <w:abstractNumId w:val="19"/>
  </w:num>
  <w:num w:numId="6">
    <w:abstractNumId w:val="14"/>
  </w:num>
  <w:num w:numId="7">
    <w:abstractNumId w:val="5"/>
  </w:num>
  <w:num w:numId="8">
    <w:abstractNumId w:val="15"/>
  </w:num>
  <w:num w:numId="9">
    <w:abstractNumId w:val="8"/>
  </w:num>
  <w:num w:numId="10">
    <w:abstractNumId w:val="1"/>
  </w:num>
  <w:num w:numId="11">
    <w:abstractNumId w:val="28"/>
  </w:num>
  <w:num w:numId="12">
    <w:abstractNumId w:val="10"/>
  </w:num>
  <w:num w:numId="13">
    <w:abstractNumId w:val="16"/>
  </w:num>
  <w:num w:numId="14">
    <w:abstractNumId w:val="20"/>
  </w:num>
  <w:num w:numId="15">
    <w:abstractNumId w:val="35"/>
  </w:num>
  <w:num w:numId="16">
    <w:abstractNumId w:val="3"/>
  </w:num>
  <w:num w:numId="17">
    <w:abstractNumId w:val="24"/>
  </w:num>
  <w:num w:numId="18">
    <w:abstractNumId w:val="17"/>
  </w:num>
  <w:num w:numId="19">
    <w:abstractNumId w:val="18"/>
  </w:num>
  <w:num w:numId="20">
    <w:abstractNumId w:val="36"/>
  </w:num>
  <w:num w:numId="21">
    <w:abstractNumId w:val="25"/>
  </w:num>
  <w:num w:numId="22">
    <w:abstractNumId w:val="33"/>
  </w:num>
  <w:num w:numId="23">
    <w:abstractNumId w:val="27"/>
  </w:num>
  <w:num w:numId="24">
    <w:abstractNumId w:val="9"/>
  </w:num>
  <w:num w:numId="25">
    <w:abstractNumId w:val="21"/>
  </w:num>
  <w:num w:numId="26">
    <w:abstractNumId w:val="26"/>
  </w:num>
  <w:num w:numId="27">
    <w:abstractNumId w:val="29"/>
  </w:num>
  <w:num w:numId="28">
    <w:abstractNumId w:val="30"/>
  </w:num>
  <w:num w:numId="29">
    <w:abstractNumId w:val="12"/>
  </w:num>
  <w:num w:numId="30">
    <w:abstractNumId w:val="31"/>
  </w:num>
  <w:num w:numId="31">
    <w:abstractNumId w:val="2"/>
  </w:num>
  <w:num w:numId="32">
    <w:abstractNumId w:val="23"/>
  </w:num>
  <w:num w:numId="33">
    <w:abstractNumId w:val="22"/>
  </w:num>
  <w:num w:numId="34">
    <w:abstractNumId w:val="7"/>
  </w:num>
  <w:num w:numId="35">
    <w:abstractNumId w:val="37"/>
  </w:num>
  <w:num w:numId="36">
    <w:abstractNumId w:val="6"/>
  </w:num>
  <w:num w:numId="37">
    <w:abstractNumId w:val="4"/>
  </w:num>
  <w:num w:numId="38">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62"/>
    <w:rsid w:val="00014870"/>
    <w:rsid w:val="000206AF"/>
    <w:rsid w:val="00022EF3"/>
    <w:rsid w:val="000303EC"/>
    <w:rsid w:val="00041522"/>
    <w:rsid w:val="0005202D"/>
    <w:rsid w:val="00054CDA"/>
    <w:rsid w:val="000557EB"/>
    <w:rsid w:val="000703F1"/>
    <w:rsid w:val="000836A3"/>
    <w:rsid w:val="00084312"/>
    <w:rsid w:val="0009377C"/>
    <w:rsid w:val="0009547B"/>
    <w:rsid w:val="000971E8"/>
    <w:rsid w:val="000A40C2"/>
    <w:rsid w:val="000B53DB"/>
    <w:rsid w:val="000D17BF"/>
    <w:rsid w:val="000E42B2"/>
    <w:rsid w:val="000F1136"/>
    <w:rsid w:val="000F28CE"/>
    <w:rsid w:val="001203C6"/>
    <w:rsid w:val="00121D35"/>
    <w:rsid w:val="00122D0D"/>
    <w:rsid w:val="0012386E"/>
    <w:rsid w:val="0014084C"/>
    <w:rsid w:val="00164256"/>
    <w:rsid w:val="00164549"/>
    <w:rsid w:val="0017254A"/>
    <w:rsid w:val="001767C9"/>
    <w:rsid w:val="001925A6"/>
    <w:rsid w:val="00194F62"/>
    <w:rsid w:val="00195DA9"/>
    <w:rsid w:val="001A0A34"/>
    <w:rsid w:val="001A0AE4"/>
    <w:rsid w:val="001B0115"/>
    <w:rsid w:val="001C129E"/>
    <w:rsid w:val="001D1BBD"/>
    <w:rsid w:val="001D207B"/>
    <w:rsid w:val="001E0720"/>
    <w:rsid w:val="001F3CE5"/>
    <w:rsid w:val="0020326C"/>
    <w:rsid w:val="00204DCF"/>
    <w:rsid w:val="00211B65"/>
    <w:rsid w:val="00215082"/>
    <w:rsid w:val="00221758"/>
    <w:rsid w:val="00227AE9"/>
    <w:rsid w:val="00232CFF"/>
    <w:rsid w:val="00247100"/>
    <w:rsid w:val="002504B6"/>
    <w:rsid w:val="00252CC2"/>
    <w:rsid w:val="0025353A"/>
    <w:rsid w:val="00253957"/>
    <w:rsid w:val="002700FE"/>
    <w:rsid w:val="00272DFA"/>
    <w:rsid w:val="00287378"/>
    <w:rsid w:val="00287410"/>
    <w:rsid w:val="00290888"/>
    <w:rsid w:val="002927EF"/>
    <w:rsid w:val="002B6ABB"/>
    <w:rsid w:val="002B71A8"/>
    <w:rsid w:val="002C4376"/>
    <w:rsid w:val="002C7257"/>
    <w:rsid w:val="002D357E"/>
    <w:rsid w:val="002E36AC"/>
    <w:rsid w:val="002E3B12"/>
    <w:rsid w:val="002E69FF"/>
    <w:rsid w:val="002F469D"/>
    <w:rsid w:val="002F5383"/>
    <w:rsid w:val="002F6237"/>
    <w:rsid w:val="0030008F"/>
    <w:rsid w:val="0031329B"/>
    <w:rsid w:val="003220A7"/>
    <w:rsid w:val="00322C4F"/>
    <w:rsid w:val="00332B14"/>
    <w:rsid w:val="00332D23"/>
    <w:rsid w:val="00337DD7"/>
    <w:rsid w:val="00360B3B"/>
    <w:rsid w:val="00374DBD"/>
    <w:rsid w:val="0037728C"/>
    <w:rsid w:val="003935C7"/>
    <w:rsid w:val="00395AE7"/>
    <w:rsid w:val="003A5AC2"/>
    <w:rsid w:val="003B0059"/>
    <w:rsid w:val="003B2244"/>
    <w:rsid w:val="003C028E"/>
    <w:rsid w:val="003C2112"/>
    <w:rsid w:val="003D39AD"/>
    <w:rsid w:val="003E1153"/>
    <w:rsid w:val="00402717"/>
    <w:rsid w:val="00402CED"/>
    <w:rsid w:val="00403047"/>
    <w:rsid w:val="004110FB"/>
    <w:rsid w:val="00412F43"/>
    <w:rsid w:val="00413239"/>
    <w:rsid w:val="004244B8"/>
    <w:rsid w:val="004271DD"/>
    <w:rsid w:val="004369E2"/>
    <w:rsid w:val="00443791"/>
    <w:rsid w:val="00443E6D"/>
    <w:rsid w:val="004459D3"/>
    <w:rsid w:val="004603BE"/>
    <w:rsid w:val="00465C82"/>
    <w:rsid w:val="004753AA"/>
    <w:rsid w:val="004766E8"/>
    <w:rsid w:val="00480753"/>
    <w:rsid w:val="00495587"/>
    <w:rsid w:val="004B4E0A"/>
    <w:rsid w:val="004C180B"/>
    <w:rsid w:val="004C2E95"/>
    <w:rsid w:val="004C6314"/>
    <w:rsid w:val="004D40AD"/>
    <w:rsid w:val="004D6E73"/>
    <w:rsid w:val="004E7449"/>
    <w:rsid w:val="004F101D"/>
    <w:rsid w:val="00502B10"/>
    <w:rsid w:val="00507D74"/>
    <w:rsid w:val="0051113F"/>
    <w:rsid w:val="00513091"/>
    <w:rsid w:val="005345C2"/>
    <w:rsid w:val="0053778D"/>
    <w:rsid w:val="0055093D"/>
    <w:rsid w:val="005560AF"/>
    <w:rsid w:val="0055782B"/>
    <w:rsid w:val="00564620"/>
    <w:rsid w:val="0058089C"/>
    <w:rsid w:val="00596573"/>
    <w:rsid w:val="005967F5"/>
    <w:rsid w:val="005A384C"/>
    <w:rsid w:val="005A38DA"/>
    <w:rsid w:val="005A5648"/>
    <w:rsid w:val="005A6215"/>
    <w:rsid w:val="005C3D66"/>
    <w:rsid w:val="005C5E5D"/>
    <w:rsid w:val="005D3D50"/>
    <w:rsid w:val="00611614"/>
    <w:rsid w:val="00611DAA"/>
    <w:rsid w:val="0061438A"/>
    <w:rsid w:val="00614F4E"/>
    <w:rsid w:val="006163F0"/>
    <w:rsid w:val="0062740A"/>
    <w:rsid w:val="00640BCE"/>
    <w:rsid w:val="006461E4"/>
    <w:rsid w:val="0065752D"/>
    <w:rsid w:val="00660865"/>
    <w:rsid w:val="00665F22"/>
    <w:rsid w:val="00674CBE"/>
    <w:rsid w:val="00686A34"/>
    <w:rsid w:val="0069000F"/>
    <w:rsid w:val="00697133"/>
    <w:rsid w:val="006A74BA"/>
    <w:rsid w:val="006B0E8E"/>
    <w:rsid w:val="006B53BA"/>
    <w:rsid w:val="006C6ACB"/>
    <w:rsid w:val="006C74E7"/>
    <w:rsid w:val="006D6B05"/>
    <w:rsid w:val="006E0C07"/>
    <w:rsid w:val="006E47C3"/>
    <w:rsid w:val="006E6F12"/>
    <w:rsid w:val="007060C9"/>
    <w:rsid w:val="00710962"/>
    <w:rsid w:val="00710B08"/>
    <w:rsid w:val="00720615"/>
    <w:rsid w:val="007461E2"/>
    <w:rsid w:val="00750566"/>
    <w:rsid w:val="00755F0A"/>
    <w:rsid w:val="00767F33"/>
    <w:rsid w:val="00771D2C"/>
    <w:rsid w:val="007817DB"/>
    <w:rsid w:val="007822E6"/>
    <w:rsid w:val="00787872"/>
    <w:rsid w:val="00791FD1"/>
    <w:rsid w:val="007A335D"/>
    <w:rsid w:val="007C7428"/>
    <w:rsid w:val="007D28E9"/>
    <w:rsid w:val="007D6B63"/>
    <w:rsid w:val="007D79D0"/>
    <w:rsid w:val="007E08DC"/>
    <w:rsid w:val="007F54FE"/>
    <w:rsid w:val="00801466"/>
    <w:rsid w:val="0081208F"/>
    <w:rsid w:val="00813389"/>
    <w:rsid w:val="00816F71"/>
    <w:rsid w:val="00826202"/>
    <w:rsid w:val="00832811"/>
    <w:rsid w:val="0083611F"/>
    <w:rsid w:val="0085366C"/>
    <w:rsid w:val="00854CB9"/>
    <w:rsid w:val="00867B7F"/>
    <w:rsid w:val="00867C1A"/>
    <w:rsid w:val="008706A7"/>
    <w:rsid w:val="00877256"/>
    <w:rsid w:val="00882991"/>
    <w:rsid w:val="00882A69"/>
    <w:rsid w:val="008870D6"/>
    <w:rsid w:val="00890A12"/>
    <w:rsid w:val="00890E04"/>
    <w:rsid w:val="008A0739"/>
    <w:rsid w:val="008A5591"/>
    <w:rsid w:val="008B16E6"/>
    <w:rsid w:val="008B67CD"/>
    <w:rsid w:val="008C6FE2"/>
    <w:rsid w:val="008F3383"/>
    <w:rsid w:val="008F6183"/>
    <w:rsid w:val="0092496A"/>
    <w:rsid w:val="00924B34"/>
    <w:rsid w:val="0092646B"/>
    <w:rsid w:val="00934B7E"/>
    <w:rsid w:val="00935A1C"/>
    <w:rsid w:val="00936180"/>
    <w:rsid w:val="0094068A"/>
    <w:rsid w:val="0094380A"/>
    <w:rsid w:val="0094444D"/>
    <w:rsid w:val="0095452F"/>
    <w:rsid w:val="00955473"/>
    <w:rsid w:val="00957FB5"/>
    <w:rsid w:val="0096166B"/>
    <w:rsid w:val="00963AE5"/>
    <w:rsid w:val="00967F4E"/>
    <w:rsid w:val="00977513"/>
    <w:rsid w:val="00986C6E"/>
    <w:rsid w:val="009871BB"/>
    <w:rsid w:val="009955F6"/>
    <w:rsid w:val="009A1003"/>
    <w:rsid w:val="009A4C90"/>
    <w:rsid w:val="009B1D5D"/>
    <w:rsid w:val="009D0EDB"/>
    <w:rsid w:val="009D39CF"/>
    <w:rsid w:val="009E17DB"/>
    <w:rsid w:val="009E2104"/>
    <w:rsid w:val="009E67B1"/>
    <w:rsid w:val="009E7E8E"/>
    <w:rsid w:val="009F201C"/>
    <w:rsid w:val="00A00AD4"/>
    <w:rsid w:val="00A01AC0"/>
    <w:rsid w:val="00A04169"/>
    <w:rsid w:val="00A05F2A"/>
    <w:rsid w:val="00A1025F"/>
    <w:rsid w:val="00A20862"/>
    <w:rsid w:val="00A36211"/>
    <w:rsid w:val="00A41557"/>
    <w:rsid w:val="00A43E9D"/>
    <w:rsid w:val="00A44E0B"/>
    <w:rsid w:val="00A45C81"/>
    <w:rsid w:val="00A52A31"/>
    <w:rsid w:val="00A71A98"/>
    <w:rsid w:val="00A94559"/>
    <w:rsid w:val="00A95293"/>
    <w:rsid w:val="00A96B6B"/>
    <w:rsid w:val="00AA1EE0"/>
    <w:rsid w:val="00AA6DA4"/>
    <w:rsid w:val="00AA6E90"/>
    <w:rsid w:val="00AB081B"/>
    <w:rsid w:val="00AB2510"/>
    <w:rsid w:val="00AC64BA"/>
    <w:rsid w:val="00AE15AF"/>
    <w:rsid w:val="00AE49E6"/>
    <w:rsid w:val="00AE5D4F"/>
    <w:rsid w:val="00AE7B86"/>
    <w:rsid w:val="00AF2065"/>
    <w:rsid w:val="00B0048F"/>
    <w:rsid w:val="00B0706E"/>
    <w:rsid w:val="00B1018D"/>
    <w:rsid w:val="00B12F3E"/>
    <w:rsid w:val="00B2331E"/>
    <w:rsid w:val="00B302E3"/>
    <w:rsid w:val="00B32171"/>
    <w:rsid w:val="00B47824"/>
    <w:rsid w:val="00B55A38"/>
    <w:rsid w:val="00B65DD7"/>
    <w:rsid w:val="00B67013"/>
    <w:rsid w:val="00B730AD"/>
    <w:rsid w:val="00B7597D"/>
    <w:rsid w:val="00B8311D"/>
    <w:rsid w:val="00B92811"/>
    <w:rsid w:val="00B9638C"/>
    <w:rsid w:val="00B96E9F"/>
    <w:rsid w:val="00BA3E05"/>
    <w:rsid w:val="00BA631B"/>
    <w:rsid w:val="00BA72DD"/>
    <w:rsid w:val="00BB5207"/>
    <w:rsid w:val="00BC21E2"/>
    <w:rsid w:val="00BC58ED"/>
    <w:rsid w:val="00BC7D5D"/>
    <w:rsid w:val="00BD1DB9"/>
    <w:rsid w:val="00BD6010"/>
    <w:rsid w:val="00BE1673"/>
    <w:rsid w:val="00BE221C"/>
    <w:rsid w:val="00C00564"/>
    <w:rsid w:val="00C06103"/>
    <w:rsid w:val="00C07CA3"/>
    <w:rsid w:val="00C32F32"/>
    <w:rsid w:val="00C330B3"/>
    <w:rsid w:val="00C341EE"/>
    <w:rsid w:val="00C34531"/>
    <w:rsid w:val="00C46B4B"/>
    <w:rsid w:val="00C50973"/>
    <w:rsid w:val="00C517AB"/>
    <w:rsid w:val="00C57CFA"/>
    <w:rsid w:val="00C57FDB"/>
    <w:rsid w:val="00C6439D"/>
    <w:rsid w:val="00C708E5"/>
    <w:rsid w:val="00C717C4"/>
    <w:rsid w:val="00C73BDD"/>
    <w:rsid w:val="00C74142"/>
    <w:rsid w:val="00C77F79"/>
    <w:rsid w:val="00C83B3F"/>
    <w:rsid w:val="00C97F05"/>
    <w:rsid w:val="00CB3112"/>
    <w:rsid w:val="00CC74DB"/>
    <w:rsid w:val="00CD0F49"/>
    <w:rsid w:val="00CD394C"/>
    <w:rsid w:val="00CD73FB"/>
    <w:rsid w:val="00CF16CA"/>
    <w:rsid w:val="00CF3543"/>
    <w:rsid w:val="00CF7E67"/>
    <w:rsid w:val="00D02107"/>
    <w:rsid w:val="00D05C66"/>
    <w:rsid w:val="00D3178B"/>
    <w:rsid w:val="00D355BC"/>
    <w:rsid w:val="00D41E1E"/>
    <w:rsid w:val="00D77AD8"/>
    <w:rsid w:val="00D8291E"/>
    <w:rsid w:val="00D934CE"/>
    <w:rsid w:val="00DA562A"/>
    <w:rsid w:val="00DA5BE1"/>
    <w:rsid w:val="00DC439D"/>
    <w:rsid w:val="00DE2CDA"/>
    <w:rsid w:val="00DF4035"/>
    <w:rsid w:val="00DF425B"/>
    <w:rsid w:val="00DF537C"/>
    <w:rsid w:val="00DF57ED"/>
    <w:rsid w:val="00E050B3"/>
    <w:rsid w:val="00E06676"/>
    <w:rsid w:val="00E24BD7"/>
    <w:rsid w:val="00E317DB"/>
    <w:rsid w:val="00E35B53"/>
    <w:rsid w:val="00E41FE5"/>
    <w:rsid w:val="00E50680"/>
    <w:rsid w:val="00E62E16"/>
    <w:rsid w:val="00E65C37"/>
    <w:rsid w:val="00E66545"/>
    <w:rsid w:val="00E73AF8"/>
    <w:rsid w:val="00E766EE"/>
    <w:rsid w:val="00E81730"/>
    <w:rsid w:val="00E841AC"/>
    <w:rsid w:val="00E864F8"/>
    <w:rsid w:val="00E90FBA"/>
    <w:rsid w:val="00E960CB"/>
    <w:rsid w:val="00E97669"/>
    <w:rsid w:val="00EA3517"/>
    <w:rsid w:val="00EC10F0"/>
    <w:rsid w:val="00EC1B8C"/>
    <w:rsid w:val="00EC608D"/>
    <w:rsid w:val="00EF1BBA"/>
    <w:rsid w:val="00F0146F"/>
    <w:rsid w:val="00F0311B"/>
    <w:rsid w:val="00F04546"/>
    <w:rsid w:val="00F1082C"/>
    <w:rsid w:val="00F1621D"/>
    <w:rsid w:val="00F16A1F"/>
    <w:rsid w:val="00F24428"/>
    <w:rsid w:val="00F259BE"/>
    <w:rsid w:val="00F409D5"/>
    <w:rsid w:val="00F57A87"/>
    <w:rsid w:val="00F64B54"/>
    <w:rsid w:val="00F64D00"/>
    <w:rsid w:val="00F67C12"/>
    <w:rsid w:val="00F76080"/>
    <w:rsid w:val="00F8070F"/>
    <w:rsid w:val="00F80E13"/>
    <w:rsid w:val="00FA76FA"/>
    <w:rsid w:val="00FA7D6C"/>
    <w:rsid w:val="00FC6A7B"/>
    <w:rsid w:val="00FD0F6F"/>
    <w:rsid w:val="00FD43DA"/>
    <w:rsid w:val="00FE2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eastAsia="Arial Unicode MS"/>
      <w:u w:val="single"/>
    </w:rPr>
  </w:style>
  <w:style w:type="paragraph" w:styleId="Titre3">
    <w:name w:val="heading 3"/>
    <w:basedOn w:val="Normal"/>
    <w:next w:val="Normal"/>
    <w:qFormat/>
    <w:pPr>
      <w:keepNext/>
      <w:outlineLvl w:val="2"/>
    </w:pPr>
    <w:rPr>
      <w:rFonts w:eastAsia="Arial Unicode MS"/>
      <w:b/>
      <w:bCs/>
      <w:u w:val="single"/>
    </w:rPr>
  </w:style>
  <w:style w:type="paragraph" w:styleId="Titre4">
    <w:name w:val="heading 4"/>
    <w:basedOn w:val="Normal"/>
    <w:next w:val="Normal"/>
    <w:qFormat/>
    <w:pPr>
      <w:keepNext/>
      <w:outlineLvl w:val="3"/>
    </w:pPr>
    <w:rPr>
      <w:i/>
      <w:iCs/>
      <w:color w:val="FF0000"/>
    </w:rPr>
  </w:style>
  <w:style w:type="paragraph" w:styleId="Titre5">
    <w:name w:val="heading 5"/>
    <w:basedOn w:val="Normal"/>
    <w:next w:val="Normal"/>
    <w:qFormat/>
    <w:pPr>
      <w:keepNext/>
      <w:outlineLvl w:val="4"/>
    </w:pPr>
    <w:rPr>
      <w:rFonts w:eastAsia="Arial Unicode MS"/>
      <w:b/>
      <w:bCs/>
    </w:rPr>
  </w:style>
  <w:style w:type="paragraph" w:styleId="Titre6">
    <w:name w:val="heading 6"/>
    <w:basedOn w:val="Normal"/>
    <w:next w:val="Normal"/>
    <w:qFormat/>
    <w:pPr>
      <w:keepNext/>
      <w:spacing w:before="100" w:beforeAutospacing="1" w:after="100" w:afterAutospacing="1"/>
      <w:outlineLvl w:val="5"/>
    </w:pPr>
    <w:rPr>
      <w:i/>
      <w:iCs/>
    </w:rPr>
  </w:style>
  <w:style w:type="paragraph" w:styleId="Titre7">
    <w:name w:val="heading 7"/>
    <w:basedOn w:val="Normal"/>
    <w:next w:val="Normal"/>
    <w:qFormat/>
    <w:pPr>
      <w:keepNext/>
      <w:outlineLvl w:val="6"/>
    </w:pPr>
    <w:rPr>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pPr>
      <w:jc w:val="both"/>
    </w:pPr>
    <w:rPr>
      <w:color w:val="CC0000"/>
      <w:sz w:val="20"/>
      <w:lang w:val="en-GB"/>
    </w:rPr>
  </w:style>
  <w:style w:type="paragraph" w:styleId="Retraitcorpsdetexte">
    <w:name w:val="Body Text Indent"/>
    <w:basedOn w:val="Normal"/>
    <w:semiHidden/>
    <w:pPr>
      <w:ind w:left="567"/>
    </w:pPr>
    <w:rPr>
      <w:rFonts w:eastAsia="Arial Unicode MS"/>
    </w:rPr>
  </w:style>
  <w:style w:type="paragraph" w:styleId="Retraitcorpsdetexte2">
    <w:name w:val="Body Text Indent 2"/>
    <w:basedOn w:val="Normal"/>
    <w:semiHidden/>
    <w:pPr>
      <w:ind w:left="567"/>
    </w:pPr>
    <w:rPr>
      <w:rFonts w:eastAsia="Arial Unicode MS"/>
      <w:i/>
      <w:iCs/>
    </w:rPr>
  </w:style>
  <w:style w:type="paragraph" w:styleId="Corpsdetexte">
    <w:name w:val="Body Text"/>
    <w:basedOn w:val="Normal"/>
    <w:semiHidden/>
    <w:rPr>
      <w:rFonts w:eastAsia="Arial Unicode MS"/>
      <w:i/>
      <w:iCs/>
      <w:color w:val="FF0000"/>
    </w:rPr>
  </w:style>
  <w:style w:type="paragraph" w:styleId="Retraitcorpsdetexte3">
    <w:name w:val="Body Text Indent 3"/>
    <w:basedOn w:val="Normal"/>
    <w:semiHidden/>
    <w:pPr>
      <w:ind w:left="709"/>
    </w:pPr>
    <w:rPr>
      <w:rFonts w:eastAsia="Arial Unicode MS"/>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character" w:customStyle="1" w:styleId="moz-txt-tag">
    <w:name w:val="moz-txt-tag"/>
    <w:basedOn w:val="Policepardfaut"/>
  </w:style>
  <w:style w:type="paragraph" w:styleId="Listepuces">
    <w:name w:val="List Bullet"/>
    <w:basedOn w:val="Normal"/>
    <w:autoRedefine/>
    <w:semiHidden/>
    <w:pPr>
      <w:numPr>
        <w:numId w:val="1"/>
      </w:numPr>
    </w:pPr>
  </w:style>
  <w:style w:type="paragraph" w:styleId="Paragraphedeliste">
    <w:name w:val="List Paragraph"/>
    <w:basedOn w:val="Normal"/>
    <w:uiPriority w:val="34"/>
    <w:qFormat/>
    <w:rsid w:val="006E47C3"/>
    <w:pPr>
      <w:ind w:left="708"/>
    </w:pPr>
  </w:style>
  <w:style w:type="paragraph" w:styleId="Textedebulles">
    <w:name w:val="Balloon Text"/>
    <w:basedOn w:val="Normal"/>
    <w:link w:val="TextedebullesCar"/>
    <w:uiPriority w:val="99"/>
    <w:semiHidden/>
    <w:unhideWhenUsed/>
    <w:rsid w:val="002F469D"/>
    <w:rPr>
      <w:rFonts w:ascii="Tahoma" w:hAnsi="Tahoma" w:cs="Tahoma"/>
      <w:sz w:val="16"/>
      <w:szCs w:val="16"/>
    </w:rPr>
  </w:style>
  <w:style w:type="character" w:customStyle="1" w:styleId="TextedebullesCar">
    <w:name w:val="Texte de bulles Car"/>
    <w:link w:val="Textedebulles"/>
    <w:uiPriority w:val="99"/>
    <w:semiHidden/>
    <w:rsid w:val="002F469D"/>
    <w:rPr>
      <w:rFonts w:ascii="Tahoma" w:hAnsi="Tahoma" w:cs="Tahoma"/>
      <w:sz w:val="16"/>
      <w:szCs w:val="16"/>
      <w:lang w:val="en-US" w:eastAsia="en-US"/>
    </w:rPr>
  </w:style>
  <w:style w:type="table" w:styleId="Grilledutableau">
    <w:name w:val="Table Grid"/>
    <w:basedOn w:val="TableauNormal"/>
    <w:uiPriority w:val="59"/>
    <w:rsid w:val="00D4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F28C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eastAsia="Arial Unicode MS"/>
      <w:u w:val="single"/>
    </w:rPr>
  </w:style>
  <w:style w:type="paragraph" w:styleId="Titre3">
    <w:name w:val="heading 3"/>
    <w:basedOn w:val="Normal"/>
    <w:next w:val="Normal"/>
    <w:qFormat/>
    <w:pPr>
      <w:keepNext/>
      <w:outlineLvl w:val="2"/>
    </w:pPr>
    <w:rPr>
      <w:rFonts w:eastAsia="Arial Unicode MS"/>
      <w:b/>
      <w:bCs/>
      <w:u w:val="single"/>
    </w:rPr>
  </w:style>
  <w:style w:type="paragraph" w:styleId="Titre4">
    <w:name w:val="heading 4"/>
    <w:basedOn w:val="Normal"/>
    <w:next w:val="Normal"/>
    <w:qFormat/>
    <w:pPr>
      <w:keepNext/>
      <w:outlineLvl w:val="3"/>
    </w:pPr>
    <w:rPr>
      <w:i/>
      <w:iCs/>
      <w:color w:val="FF0000"/>
    </w:rPr>
  </w:style>
  <w:style w:type="paragraph" w:styleId="Titre5">
    <w:name w:val="heading 5"/>
    <w:basedOn w:val="Normal"/>
    <w:next w:val="Normal"/>
    <w:qFormat/>
    <w:pPr>
      <w:keepNext/>
      <w:outlineLvl w:val="4"/>
    </w:pPr>
    <w:rPr>
      <w:rFonts w:eastAsia="Arial Unicode MS"/>
      <w:b/>
      <w:bCs/>
    </w:rPr>
  </w:style>
  <w:style w:type="paragraph" w:styleId="Titre6">
    <w:name w:val="heading 6"/>
    <w:basedOn w:val="Normal"/>
    <w:next w:val="Normal"/>
    <w:qFormat/>
    <w:pPr>
      <w:keepNext/>
      <w:spacing w:before="100" w:beforeAutospacing="1" w:after="100" w:afterAutospacing="1"/>
      <w:outlineLvl w:val="5"/>
    </w:pPr>
    <w:rPr>
      <w:i/>
      <w:iCs/>
    </w:rPr>
  </w:style>
  <w:style w:type="paragraph" w:styleId="Titre7">
    <w:name w:val="heading 7"/>
    <w:basedOn w:val="Normal"/>
    <w:next w:val="Normal"/>
    <w:qFormat/>
    <w:pPr>
      <w:keepNext/>
      <w:outlineLvl w:val="6"/>
    </w:pPr>
    <w:rPr>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pPr>
      <w:jc w:val="both"/>
    </w:pPr>
    <w:rPr>
      <w:color w:val="CC0000"/>
      <w:sz w:val="20"/>
      <w:lang w:val="en-GB"/>
    </w:rPr>
  </w:style>
  <w:style w:type="paragraph" w:styleId="Retraitcorpsdetexte">
    <w:name w:val="Body Text Indent"/>
    <w:basedOn w:val="Normal"/>
    <w:semiHidden/>
    <w:pPr>
      <w:ind w:left="567"/>
    </w:pPr>
    <w:rPr>
      <w:rFonts w:eastAsia="Arial Unicode MS"/>
    </w:rPr>
  </w:style>
  <w:style w:type="paragraph" w:styleId="Retraitcorpsdetexte2">
    <w:name w:val="Body Text Indent 2"/>
    <w:basedOn w:val="Normal"/>
    <w:semiHidden/>
    <w:pPr>
      <w:ind w:left="567"/>
    </w:pPr>
    <w:rPr>
      <w:rFonts w:eastAsia="Arial Unicode MS"/>
      <w:i/>
      <w:iCs/>
    </w:rPr>
  </w:style>
  <w:style w:type="paragraph" w:styleId="Corpsdetexte">
    <w:name w:val="Body Text"/>
    <w:basedOn w:val="Normal"/>
    <w:semiHidden/>
    <w:rPr>
      <w:rFonts w:eastAsia="Arial Unicode MS"/>
      <w:i/>
      <w:iCs/>
      <w:color w:val="FF0000"/>
    </w:rPr>
  </w:style>
  <w:style w:type="paragraph" w:styleId="Retraitcorpsdetexte3">
    <w:name w:val="Body Text Indent 3"/>
    <w:basedOn w:val="Normal"/>
    <w:semiHidden/>
    <w:pPr>
      <w:ind w:left="709"/>
    </w:pPr>
    <w:rPr>
      <w:rFonts w:eastAsia="Arial Unicode MS"/>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character" w:customStyle="1" w:styleId="moz-txt-tag">
    <w:name w:val="moz-txt-tag"/>
    <w:basedOn w:val="Policepardfaut"/>
  </w:style>
  <w:style w:type="paragraph" w:styleId="Listepuces">
    <w:name w:val="List Bullet"/>
    <w:basedOn w:val="Normal"/>
    <w:autoRedefine/>
    <w:semiHidden/>
    <w:pPr>
      <w:numPr>
        <w:numId w:val="1"/>
      </w:numPr>
    </w:pPr>
  </w:style>
  <w:style w:type="paragraph" w:styleId="Paragraphedeliste">
    <w:name w:val="List Paragraph"/>
    <w:basedOn w:val="Normal"/>
    <w:uiPriority w:val="34"/>
    <w:qFormat/>
    <w:rsid w:val="006E47C3"/>
    <w:pPr>
      <w:ind w:left="708"/>
    </w:pPr>
  </w:style>
  <w:style w:type="paragraph" w:styleId="Textedebulles">
    <w:name w:val="Balloon Text"/>
    <w:basedOn w:val="Normal"/>
    <w:link w:val="TextedebullesCar"/>
    <w:uiPriority w:val="99"/>
    <w:semiHidden/>
    <w:unhideWhenUsed/>
    <w:rsid w:val="002F469D"/>
    <w:rPr>
      <w:rFonts w:ascii="Tahoma" w:hAnsi="Tahoma" w:cs="Tahoma"/>
      <w:sz w:val="16"/>
      <w:szCs w:val="16"/>
    </w:rPr>
  </w:style>
  <w:style w:type="character" w:customStyle="1" w:styleId="TextedebullesCar">
    <w:name w:val="Texte de bulles Car"/>
    <w:link w:val="Textedebulles"/>
    <w:uiPriority w:val="99"/>
    <w:semiHidden/>
    <w:rsid w:val="002F469D"/>
    <w:rPr>
      <w:rFonts w:ascii="Tahoma" w:hAnsi="Tahoma" w:cs="Tahoma"/>
      <w:sz w:val="16"/>
      <w:szCs w:val="16"/>
      <w:lang w:val="en-US" w:eastAsia="en-US"/>
    </w:rPr>
  </w:style>
  <w:style w:type="table" w:styleId="Grilledutableau">
    <w:name w:val="Table Grid"/>
    <w:basedOn w:val="TableauNormal"/>
    <w:uiPriority w:val="59"/>
    <w:rsid w:val="00D4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F2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am.fr/wiki/nika2/index.php/June_15,_2016,_FXD,_KID_position_mapping_and_Field_distortion" TargetMode="External"/><Relationship Id="rId3" Type="http://schemas.openxmlformats.org/officeDocument/2006/relationships/styles" Target="styles.xml"/><Relationship Id="rId7" Type="http://schemas.openxmlformats.org/officeDocument/2006/relationships/hyperlink" Target="http://www.iram.fr/wiki/nika2/index.php/File:PPS_Synchroniz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8F291-189B-4F64-9C3C-81E8B090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3</Pages>
  <Words>1603</Words>
  <Characters>8689</Characters>
  <Application>Microsoft Office Word</Application>
  <DocSecurity>0</DocSecurity>
  <Lines>334</Lines>
  <Paragraphs>228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Minutes of the 12/07/2011 NIKA data meeting</vt:lpstr>
      <vt:lpstr>Minutes of the 12/07/2011 NIKA data meeting</vt:lpstr>
    </vt:vector>
  </TitlesOfParts>
  <Company>iram</Company>
  <LinksUpToDate>false</LinksUpToDate>
  <CharactersWithSpaces>10064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12/07/2011 NIKA data meeting</dc:title>
  <dc:creator>Administrateur</dc:creator>
  <cp:lastModifiedBy>Samuel Leclercq</cp:lastModifiedBy>
  <cp:revision>11</cp:revision>
  <cp:lastPrinted>2017-05-30T08:51:00Z</cp:lastPrinted>
  <dcterms:created xsi:type="dcterms:W3CDTF">2017-07-11T15:30:00Z</dcterms:created>
  <dcterms:modified xsi:type="dcterms:W3CDTF">2017-07-18T14:31:00Z</dcterms:modified>
</cp:coreProperties>
</file>