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tudio-sygnatura-pliki-produkcyjne-znaku"/>
    <w:p>
      <w:pPr>
        <w:pStyle w:val="Heading1"/>
      </w:pPr>
      <w:r>
        <w:t xml:space="preserve">Studio Sygnatura — pliki produkcyjne znaku</w:t>
      </w:r>
    </w:p>
    <w:p>
      <w:pPr>
        <w:pStyle w:val="FirstParagraph"/>
      </w:pPr>
      <w:r>
        <w:t xml:space="preserve">Wersja finalna · kreskowanie 75 % · sygnet okrągły</w:t>
      </w:r>
    </w:p>
    <w:bookmarkStart w:id="9" w:name="pliki"/>
    <w:p>
      <w:pPr>
        <w:pStyle w:val="Heading2"/>
      </w:pPr>
      <w:r>
        <w:t xml:space="preserve">Pliki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Plik</w:t>
            </w:r>
          </w:p>
        </w:tc>
        <w:tc>
          <w:tcPr/>
          <w:p>
            <w:pPr>
              <w:pStyle w:val="Compact"/>
            </w:pPr>
            <w:r>
              <w:t xml:space="preserve">Szerokość</w:t>
            </w:r>
          </w:p>
        </w:tc>
        <w:tc>
          <w:tcPr/>
          <w:p>
            <w:pPr>
              <w:pStyle w:val="Compact"/>
            </w:pPr>
            <w:r>
              <w:t xml:space="preserve">Zastosowanie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LOGO_pelne.svg</w:t>
            </w:r>
          </w:p>
        </w:tc>
        <w:tc>
          <w:tcPr/>
          <w:p>
            <w:pPr>
              <w:pStyle w:val="Compact"/>
            </w:pPr>
            <w:r>
              <w:t xml:space="preserve">60 mm</w:t>
            </w:r>
          </w:p>
        </w:tc>
        <w:tc>
          <w:tcPr/>
          <w:p>
            <w:pPr>
              <w:pStyle w:val="Compact"/>
            </w:pPr>
            <w:r>
              <w:t xml:space="preserve">znak główny, brąz</w:t>
            </w:r>
            <w:r>
              <w:t xml:space="preserve"> </w:t>
            </w:r>
            <w:r>
              <w:rPr>
                <w:rStyle w:val="VerbatimChar"/>
              </w:rPr>
              <w:t xml:space="preserve">#6B4530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LOGO_pelne_CZARNY.svg</w:t>
            </w:r>
          </w:p>
        </w:tc>
        <w:tc>
          <w:tcPr/>
          <w:p>
            <w:pPr>
              <w:pStyle w:val="Compact"/>
            </w:pPr>
            <w:r>
              <w:t xml:space="preserve">60 mm</w:t>
            </w:r>
          </w:p>
        </w:tc>
        <w:tc>
          <w:tcPr/>
          <w:p>
            <w:pPr>
              <w:pStyle w:val="Compact"/>
            </w:pPr>
            <w:r>
              <w:t xml:space="preserve">pieczątka, grawer, druk jednokolorowy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SYGNET_okrag.svg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t xml:space="preserve">znak produktowy, brąz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SYGNET_okrag_CZARNY.svg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t xml:space="preserve">grawer w wyrobie, naklejki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SYGNET_bez_ramki.svg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t xml:space="preserve">wariant bez okręgu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LOGOTYP.svg</w:t>
            </w:r>
          </w:p>
        </w:tc>
        <w:tc>
          <w:tcPr/>
          <w:p>
            <w:pPr>
              <w:pStyle w:val="Compact"/>
            </w:pPr>
            <w:r>
              <w:t xml:space="preserve">60 mm</w:t>
            </w:r>
          </w:p>
        </w:tc>
        <w:tc>
          <w:tcPr/>
          <w:p>
            <w:pPr>
              <w:pStyle w:val="Compact"/>
            </w:pPr>
            <w:r>
              <w:t xml:space="preserve">sam napis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ZNAK_scienny.svg</w:t>
            </w:r>
          </w:p>
        </w:tc>
        <w:tc>
          <w:tcPr/>
          <w:p>
            <w:pPr>
              <w:pStyle w:val="Compact"/>
            </w:pPr>
            <w:r>
              <w:t xml:space="preserve">120 mm</w:t>
            </w:r>
          </w:p>
        </w:tc>
        <w:tc>
          <w:tcPr/>
          <w:p>
            <w:pPr>
              <w:pStyle w:val="Compact"/>
            </w:pPr>
            <w:r>
              <w:t xml:space="preserve">sygnet + logotyp, układ pionowy — szyld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*_3000px_BW.png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1-bit, 400 dpi, do wektoryzacji w Inkscape</w:t>
            </w:r>
          </w:p>
        </w:tc>
      </w:tr>
    </w:tbl>
    <w:bookmarkEnd w:id="9"/>
    <w:bookmarkStart w:id="10" w:name="zasady"/>
    <w:p>
      <w:pPr>
        <w:pStyle w:val="Heading2"/>
      </w:pPr>
      <w:r>
        <w:t xml:space="preserve">Zasady</w:t>
      </w:r>
    </w:p>
    <w:p>
      <w:pPr>
        <w:pStyle w:val="Compact"/>
        <w:numPr>
          <w:ilvl w:val="0"/>
          <w:numId w:val="1001"/>
        </w:numPr>
      </w:pPr>
      <w:r>
        <w:t xml:space="preserve">Wszystko</w:t>
      </w:r>
      <w:r>
        <w:t xml:space="preserve"> </w:t>
      </w:r>
      <w:r>
        <w:rPr>
          <w:b/>
          <w:bCs/>
        </w:rPr>
        <w:t xml:space="preserve">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fill-rule="evenodd"</w:t>
      </w:r>
      <w:r>
        <w:t xml:space="preserve">. Zero grawerowania, tekstu i komentarzy w plikach.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w milimetrach,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w pikselach — wymiar fizyczny jest prawidłowy po otwarciu w LightBurn/Inkscape.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Kolor znaku: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#6B4530</w:t>
      </w:r>
      <w:r>
        <w:rPr>
          <w:b/>
          <w:bCs/>
        </w:rPr>
        <w:t xml:space="preserve">.</w:t>
      </w:r>
      <w:r>
        <w:t xml:space="preserve"> </w:t>
      </w:r>
      <w:r>
        <w:t xml:space="preserve">Wersje</w:t>
      </w:r>
      <w:r>
        <w:t xml:space="preserve"> </w:t>
      </w:r>
      <w:r>
        <w:rPr>
          <w:rStyle w:val="VerbatimChar"/>
        </w:rPr>
        <w:t xml:space="preserve">_CZARNY</w:t>
      </w:r>
      <w:r>
        <w:t xml:space="preserve"> </w:t>
      </w:r>
      <w:r>
        <w:t xml:space="preserve">do wszystkiego, co jest jednokolorowe.</w:t>
      </w:r>
    </w:p>
    <w:bookmarkEnd w:id="10"/>
    <w:bookmarkStart w:id="11" w:name="rozmiary-minimalne"/>
    <w:p>
      <w:pPr>
        <w:pStyle w:val="Heading2"/>
      </w:pPr>
      <w:r>
        <w:t xml:space="preserve">Rozmiary minimalne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 pełne: nie mniej niż 30 mm szerokości.</w:t>
      </w:r>
      <w:r>
        <w:t xml:space="preserve"> </w:t>
      </w:r>
      <w:r>
        <w:t xml:space="preserve">Poniżej kreskowanie w SYG zlewa się i napis traci sens.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Sygnet okrągły: schodzi do 10 mm.</w:t>
      </w:r>
      <w:r>
        <w:t xml:space="preserve"> </w:t>
      </w:r>
      <w:r>
        <w:t xml:space="preserve">Poniżej 15 mm zalecany wariant bez cienkich detali gałązki.</w:t>
      </w:r>
    </w:p>
    <w:p>
      <w:pPr>
        <w:pStyle w:val="Compact"/>
        <w:numPr>
          <w:ilvl w:val="0"/>
          <w:numId w:val="1002"/>
        </w:numPr>
      </w:pPr>
      <w:r>
        <w:t xml:space="preserve">Na wyroby drobne (metki, breloki) —</w:t>
      </w:r>
      <w:r>
        <w:t xml:space="preserve"> </w:t>
      </w:r>
      <w:r>
        <w:rPr>
          <w:b/>
          <w:bCs/>
        </w:rPr>
        <w:t xml:space="preserve">sam sygnet, bez logotypu</w:t>
      </w:r>
      <w:r>
        <w:t xml:space="preserve">.</w:t>
      </w:r>
    </w:p>
    <w:bookmarkEnd w:id="11"/>
    <w:bookmarkStart w:id="12" w:name="uwaga-wykonawcza"/>
    <w:p>
      <w:pPr>
        <w:pStyle w:val="Heading2"/>
      </w:pPr>
      <w:r>
        <w:t xml:space="preserve">Uwaga wykonawcza</w:t>
      </w:r>
    </w:p>
    <w:p>
      <w:pPr>
        <w:pStyle w:val="FirstParagraph"/>
      </w:pPr>
      <w:r>
        <w:t xml:space="preserve">Kreskowanie w SYG to</w:t>
      </w:r>
      <w:r>
        <w:t xml:space="preserve"> </w:t>
      </w:r>
      <w:r>
        <w:rPr>
          <w:b/>
          <w:bCs/>
        </w:rPr>
        <w:t xml:space="preserve">raster/grawer</w:t>
      </w:r>
      <w:r>
        <w:t xml:space="preserve">, nie ścieżka cięcia. Przy wypalaniu:</w:t>
      </w:r>
      <w:r>
        <w:t xml:space="preserve"> </w:t>
      </w:r>
      <w:r>
        <w:t xml:space="preserve">- SYG → grawer rastrowy</w:t>
      </w:r>
      <w:r>
        <w:t xml:space="preserve"> </w:t>
      </w:r>
      <w:r>
        <w:t xml:space="preserve">- NATURA i sygnet → grawer wektorowy lub cięcie</w:t>
      </w:r>
    </w:p>
    <w:p>
      <w:pPr>
        <w:pStyle w:val="BodyText"/>
      </w:pPr>
      <w:r>
        <w:t xml:space="preserve">Przy pieczątce 30 mm i mniejszej faktura i tak zniknie pod tuszem — tam używać wariantu pełnego albo samego sygnetu.</w:t>
      </w:r>
    </w:p>
    <w:bookmarkEnd w:id="12"/>
    <w:bookmarkStart w:id="13" w:name="test-wypału"/>
    <w:p>
      <w:pPr>
        <w:pStyle w:val="Heading2"/>
      </w:pPr>
      <w:r>
        <w:t xml:space="preserve">Test wypału</w:t>
      </w:r>
    </w:p>
    <w:p>
      <w:pPr>
        <w:pStyle w:val="FirstParagraph"/>
      </w:pPr>
      <w:r>
        <w:t xml:space="preserve">Sklejka 3 mm, 2500–3000 mm/min, moc 25–35 %, gęstość 0,08 mm, 1 przejście.</w:t>
      </w:r>
      <w:r>
        <w:t xml:space="preserve"> </w:t>
      </w:r>
      <w:r>
        <w:t xml:space="preserve">Zalecenie: trzy rzędy różną mocą na jednej płytce przed pierwszą serią.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2026-08-27T04:49:08Z</dcterms:created>
  <dcterms:modified xsi:type="dcterms:W3CDTF">2026-08-27T04:49:08Z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