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929" w:rsidRPr="00754929" w:rsidRDefault="00754929" w:rsidP="00552F35">
      <w:pPr>
        <w:spacing w:after="100" w:afterAutospacing="1" w:line="240" w:lineRule="auto"/>
        <w:jc w:val="center"/>
        <w:outlineLvl w:val="2"/>
        <w:rPr>
          <w:rFonts w:ascii="Helvetica" w:eastAsia="Times New Roman" w:hAnsi="Helvetica" w:cs="Helvetica"/>
          <w:color w:val="0A1B32"/>
          <w:sz w:val="27"/>
          <w:szCs w:val="27"/>
          <w:lang w:val="en-US" w:eastAsia="pl-PL"/>
        </w:rPr>
      </w:pPr>
      <w:r w:rsidRPr="00754929">
        <w:rPr>
          <w:rFonts w:ascii="Helvetica" w:eastAsia="Times New Roman" w:hAnsi="Helvetica" w:cs="Helvetica"/>
          <w:b/>
          <w:bCs/>
          <w:color w:val="0A1B32"/>
          <w:sz w:val="27"/>
          <w:szCs w:val="27"/>
          <w:lang w:val="en-US" w:eastAsia="pl-PL"/>
        </w:rPr>
        <w:t>Questions related to risk measures</w:t>
      </w:r>
    </w:p>
    <w:p w:rsidR="00754929" w:rsidRPr="00922D64"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1. How would you calculate Value at Risk (</w:t>
      </w:r>
      <w:proofErr w:type="spellStart"/>
      <w:r w:rsidRPr="00754929">
        <w:rPr>
          <w:rFonts w:ascii="Helvetica" w:eastAsia="Times New Roman" w:hAnsi="Helvetica" w:cs="Helvetica"/>
          <w:b/>
          <w:color w:val="0A1B32"/>
          <w:sz w:val="27"/>
          <w:szCs w:val="27"/>
          <w:lang w:val="en-US" w:eastAsia="pl-PL"/>
        </w:rPr>
        <w:t>VaR</w:t>
      </w:r>
      <w:proofErr w:type="spellEnd"/>
      <w:r w:rsidRPr="00754929">
        <w:rPr>
          <w:rFonts w:ascii="Helvetica" w:eastAsia="Times New Roman" w:hAnsi="Helvetica" w:cs="Helvetica"/>
          <w:b/>
          <w:color w:val="0A1B32"/>
          <w:sz w:val="27"/>
          <w:szCs w:val="27"/>
          <w:lang w:val="en-US" w:eastAsia="pl-PL"/>
        </w:rPr>
        <w:t>)?</w:t>
      </w:r>
    </w:p>
    <w:p w:rsidR="00922D64" w:rsidRPr="00922D64" w:rsidRDefault="00922D64" w:rsidP="00754929">
      <w:pPr>
        <w:spacing w:after="100" w:afterAutospacing="1" w:line="240" w:lineRule="auto"/>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Three methods:</w:t>
      </w:r>
    </w:p>
    <w:p w:rsidR="00922D64" w:rsidRPr="00922D64" w:rsidRDefault="00922D64" w:rsidP="00922D64">
      <w:pPr>
        <w:pStyle w:val="ListParagraph"/>
        <w:numPr>
          <w:ilvl w:val="0"/>
          <w:numId w:val="4"/>
        </w:numPr>
        <w:spacing w:after="100" w:afterAutospacing="1" w:line="240" w:lineRule="auto"/>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Parametric</w:t>
      </w:r>
    </w:p>
    <w:p w:rsidR="00922D64" w:rsidRPr="00922D64" w:rsidRDefault="00922D64" w:rsidP="00922D64">
      <w:pPr>
        <w:pStyle w:val="ListParagraph"/>
        <w:numPr>
          <w:ilvl w:val="0"/>
          <w:numId w:val="4"/>
        </w:numPr>
        <w:spacing w:after="100" w:afterAutospacing="1" w:line="240" w:lineRule="auto"/>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Historical</w:t>
      </w:r>
    </w:p>
    <w:p w:rsidR="00922D64" w:rsidRPr="00922D64" w:rsidRDefault="00922D64" w:rsidP="00922D64">
      <w:pPr>
        <w:pStyle w:val="ListParagraph"/>
        <w:numPr>
          <w:ilvl w:val="0"/>
          <w:numId w:val="4"/>
        </w:numPr>
        <w:spacing w:after="100" w:afterAutospacing="1" w:line="240" w:lineRule="auto"/>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Simulation</w:t>
      </w:r>
    </w:p>
    <w:p w:rsidR="00922D64" w:rsidRPr="00754929" w:rsidRDefault="00FA2A77" w:rsidP="00754929">
      <w:pPr>
        <w:spacing w:after="100" w:afterAutospacing="1" w:line="240" w:lineRule="auto"/>
        <w:rPr>
          <w:rFonts w:ascii="Helvetica" w:eastAsia="Times New Roman" w:hAnsi="Helvetica" w:cs="Helvetica"/>
          <w:i/>
          <w:color w:val="0A1B32"/>
          <w:sz w:val="27"/>
          <w:szCs w:val="27"/>
          <w:lang w:val="en-US" w:eastAsia="pl-PL"/>
        </w:rPr>
      </w:pPr>
      <w:r>
        <w:rPr>
          <w:rFonts w:ascii="Helvetica" w:eastAsia="Times New Roman" w:hAnsi="Helvetica" w:cs="Helvetica"/>
          <w:i/>
          <w:color w:val="0A1B32"/>
          <w:sz w:val="27"/>
          <w:szCs w:val="27"/>
          <w:lang w:val="en-US" w:eastAsia="pl-PL"/>
        </w:rPr>
        <w:t xml:space="preserve">Percentile based on the assumed </w:t>
      </w:r>
      <w:proofErr w:type="spellStart"/>
      <w:r>
        <w:rPr>
          <w:rFonts w:ascii="Helvetica" w:eastAsia="Times New Roman" w:hAnsi="Helvetica" w:cs="Helvetica"/>
          <w:i/>
          <w:color w:val="0A1B32"/>
          <w:sz w:val="27"/>
          <w:szCs w:val="27"/>
          <w:lang w:val="en-US" w:eastAsia="pl-PL"/>
        </w:rPr>
        <w:t>disiribution</w:t>
      </w:r>
      <w:proofErr w:type="spellEnd"/>
      <w:r>
        <w:rPr>
          <w:rFonts w:ascii="Helvetica" w:eastAsia="Times New Roman" w:hAnsi="Helvetica" w:cs="Helvetica"/>
          <w:i/>
          <w:color w:val="0A1B32"/>
          <w:sz w:val="27"/>
          <w:szCs w:val="27"/>
          <w:lang w:val="en-US" w:eastAsia="pl-PL"/>
        </w:rPr>
        <w:t>;</w:t>
      </w:r>
      <w:r w:rsidR="00FE5BA7">
        <w:rPr>
          <w:rFonts w:ascii="Helvetica" w:eastAsia="Times New Roman" w:hAnsi="Helvetica" w:cs="Helvetica"/>
          <w:i/>
          <w:color w:val="0A1B32"/>
          <w:sz w:val="27"/>
          <w:szCs w:val="27"/>
          <w:lang w:val="en-US" w:eastAsia="pl-PL"/>
        </w:rPr>
        <w:t xml:space="preserve"> </w:t>
      </w:r>
      <w:r w:rsidR="00922D64" w:rsidRPr="00922D64">
        <w:rPr>
          <w:rFonts w:ascii="Helvetica" w:eastAsia="Times New Roman" w:hAnsi="Helvetica" w:cs="Helvetica"/>
          <w:i/>
          <w:color w:val="0A1B32"/>
          <w:sz w:val="27"/>
          <w:szCs w:val="27"/>
          <w:lang w:val="en-US" w:eastAsia="pl-PL"/>
        </w:rPr>
        <w:t>Percentile of distribution</w:t>
      </w:r>
      <w:r>
        <w:rPr>
          <w:rFonts w:ascii="Helvetica" w:eastAsia="Times New Roman" w:hAnsi="Helvetica" w:cs="Helvetica"/>
          <w:i/>
          <w:color w:val="0A1B32"/>
          <w:sz w:val="27"/>
          <w:szCs w:val="27"/>
          <w:lang w:val="en-US" w:eastAsia="pl-PL"/>
        </w:rPr>
        <w:t xml:space="preserve">; Percentile of Simulations </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 xml:space="preserve">2. What's wrong with </w:t>
      </w:r>
      <w:proofErr w:type="spellStart"/>
      <w:r w:rsidRPr="00754929">
        <w:rPr>
          <w:rFonts w:ascii="Helvetica" w:eastAsia="Times New Roman" w:hAnsi="Helvetica" w:cs="Helvetica"/>
          <w:b/>
          <w:color w:val="0A1B32"/>
          <w:sz w:val="27"/>
          <w:szCs w:val="27"/>
          <w:lang w:val="en-US" w:eastAsia="pl-PL"/>
        </w:rPr>
        <w:t>VaR</w:t>
      </w:r>
      <w:proofErr w:type="spellEnd"/>
      <w:r w:rsidRPr="00754929">
        <w:rPr>
          <w:rFonts w:ascii="Helvetica" w:eastAsia="Times New Roman" w:hAnsi="Helvetica" w:cs="Helvetica"/>
          <w:b/>
          <w:color w:val="0A1B32"/>
          <w:sz w:val="27"/>
          <w:szCs w:val="27"/>
          <w:lang w:val="en-US" w:eastAsia="pl-PL"/>
        </w:rPr>
        <w:t xml:space="preserve"> as a measurement of risk?</w:t>
      </w:r>
    </w:p>
    <w:p w:rsidR="00922D64" w:rsidRPr="00922D64" w:rsidRDefault="00922D64" w:rsidP="00922D64">
      <w:pPr>
        <w:pStyle w:val="ListParagraph"/>
        <w:numPr>
          <w:ilvl w:val="0"/>
          <w:numId w:val="1"/>
        </w:numPr>
        <w:spacing w:after="100" w:afterAutospacing="1" w:line="240" w:lineRule="auto"/>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Not sub-additive</w:t>
      </w:r>
      <w:r w:rsidR="00FE5BA7">
        <w:rPr>
          <w:rFonts w:ascii="Helvetica" w:eastAsia="Times New Roman" w:hAnsi="Helvetica" w:cs="Helvetica"/>
          <w:i/>
          <w:color w:val="0A1B32"/>
          <w:sz w:val="27"/>
          <w:szCs w:val="27"/>
          <w:lang w:val="en-US" w:eastAsia="pl-PL"/>
        </w:rPr>
        <w:t xml:space="preserve"> (not coherent)</w:t>
      </w:r>
    </w:p>
    <w:p w:rsidR="00922D64" w:rsidRDefault="00922D64" w:rsidP="00922D64">
      <w:pPr>
        <w:pStyle w:val="ListParagraph"/>
        <w:numPr>
          <w:ilvl w:val="0"/>
          <w:numId w:val="1"/>
        </w:numPr>
        <w:spacing w:after="100" w:afterAutospacing="1" w:line="240" w:lineRule="auto"/>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 xml:space="preserve">Does not account for what happens in the tail </w:t>
      </w:r>
      <w:r w:rsidR="00FE5BA7">
        <w:rPr>
          <w:rFonts w:ascii="Helvetica" w:eastAsia="Times New Roman" w:hAnsi="Helvetica" w:cs="Helvetica"/>
          <w:i/>
          <w:color w:val="0A1B32"/>
          <w:sz w:val="27"/>
          <w:szCs w:val="27"/>
          <w:lang w:val="en-US" w:eastAsia="pl-PL"/>
        </w:rPr>
        <w:t>(fat tails)</w:t>
      </w:r>
    </w:p>
    <w:p w:rsidR="00FE5BA7" w:rsidRDefault="00FE5BA7" w:rsidP="00922D64">
      <w:pPr>
        <w:pStyle w:val="ListParagraph"/>
        <w:numPr>
          <w:ilvl w:val="0"/>
          <w:numId w:val="1"/>
        </w:numPr>
        <w:spacing w:after="100" w:afterAutospacing="1" w:line="240" w:lineRule="auto"/>
        <w:rPr>
          <w:rFonts w:ascii="Helvetica" w:eastAsia="Times New Roman" w:hAnsi="Helvetica" w:cs="Helvetica"/>
          <w:i/>
          <w:color w:val="0A1B32"/>
          <w:sz w:val="27"/>
          <w:szCs w:val="27"/>
          <w:lang w:val="en-US" w:eastAsia="pl-PL"/>
        </w:rPr>
      </w:pPr>
      <w:r>
        <w:rPr>
          <w:rFonts w:ascii="Helvetica" w:eastAsia="Times New Roman" w:hAnsi="Helvetica" w:cs="Helvetica"/>
          <w:i/>
          <w:color w:val="0A1B32"/>
          <w:sz w:val="27"/>
          <w:szCs w:val="27"/>
          <w:lang w:val="en-US" w:eastAsia="pl-PL"/>
        </w:rPr>
        <w:t>A fixed holding period to account for liquidity</w:t>
      </w:r>
    </w:p>
    <w:p w:rsidR="00FE5BA7" w:rsidRDefault="00FE5BA7" w:rsidP="00922D64">
      <w:pPr>
        <w:pStyle w:val="ListParagraph"/>
        <w:numPr>
          <w:ilvl w:val="0"/>
          <w:numId w:val="1"/>
        </w:numPr>
        <w:spacing w:after="100" w:afterAutospacing="1" w:line="240" w:lineRule="auto"/>
        <w:rPr>
          <w:rFonts w:ascii="Helvetica" w:eastAsia="Times New Roman" w:hAnsi="Helvetica" w:cs="Helvetica"/>
          <w:i/>
          <w:color w:val="0A1B32"/>
          <w:sz w:val="27"/>
          <w:szCs w:val="27"/>
          <w:lang w:val="en-US" w:eastAsia="pl-PL"/>
        </w:rPr>
      </w:pPr>
      <w:r>
        <w:rPr>
          <w:rFonts w:ascii="Helvetica" w:eastAsia="Times New Roman" w:hAnsi="Helvetica" w:cs="Helvetica"/>
          <w:i/>
          <w:color w:val="0A1B32"/>
          <w:sz w:val="27"/>
          <w:szCs w:val="27"/>
          <w:lang w:val="en-US" w:eastAsia="pl-PL"/>
        </w:rPr>
        <w:t>Does not account for intra-day risks</w:t>
      </w:r>
    </w:p>
    <w:p w:rsidR="00FE5BA7" w:rsidRDefault="00FE5BA7" w:rsidP="00FE5BA7">
      <w:pPr>
        <w:pStyle w:val="ListParagraph"/>
        <w:numPr>
          <w:ilvl w:val="0"/>
          <w:numId w:val="1"/>
        </w:numPr>
        <w:spacing w:after="100" w:afterAutospacing="1" w:line="240" w:lineRule="auto"/>
        <w:rPr>
          <w:rFonts w:ascii="Helvetica" w:eastAsia="Times New Roman" w:hAnsi="Helvetica" w:cs="Helvetica"/>
          <w:i/>
          <w:color w:val="0A1B32"/>
          <w:sz w:val="27"/>
          <w:szCs w:val="27"/>
          <w:lang w:val="en-US" w:eastAsia="pl-PL"/>
        </w:rPr>
      </w:pPr>
      <w:r>
        <w:rPr>
          <w:rFonts w:ascii="Helvetica" w:eastAsia="Times New Roman" w:hAnsi="Helvetica" w:cs="Helvetica"/>
          <w:i/>
          <w:color w:val="0A1B32"/>
          <w:sz w:val="27"/>
          <w:szCs w:val="27"/>
          <w:lang w:val="en-US" w:eastAsia="pl-PL"/>
        </w:rPr>
        <w:t>May not capture illiquid risk factors (basis risk, cross risk)</w:t>
      </w:r>
    </w:p>
    <w:p w:rsidR="00FE5BA7" w:rsidRDefault="00FE5BA7" w:rsidP="00FE5BA7">
      <w:pPr>
        <w:pStyle w:val="ListParagraph"/>
        <w:numPr>
          <w:ilvl w:val="0"/>
          <w:numId w:val="1"/>
        </w:numPr>
        <w:spacing w:after="100" w:afterAutospacing="1" w:line="240" w:lineRule="auto"/>
        <w:rPr>
          <w:rFonts w:ascii="Helvetica" w:eastAsia="Times New Roman" w:hAnsi="Helvetica" w:cs="Helvetica"/>
          <w:i/>
          <w:color w:val="0A1B32"/>
          <w:sz w:val="27"/>
          <w:szCs w:val="27"/>
          <w:lang w:val="en-US" w:eastAsia="pl-PL"/>
        </w:rPr>
      </w:pPr>
      <w:r>
        <w:rPr>
          <w:rFonts w:ascii="Helvetica" w:eastAsia="Times New Roman" w:hAnsi="Helvetica" w:cs="Helvetica"/>
          <w:i/>
          <w:color w:val="0A1B32"/>
          <w:sz w:val="27"/>
          <w:szCs w:val="27"/>
          <w:lang w:val="en-US" w:eastAsia="pl-PL"/>
        </w:rPr>
        <w:t>Does not capture default risk</w:t>
      </w:r>
    </w:p>
    <w:p w:rsidR="00FE5BA7" w:rsidRPr="00FE5BA7" w:rsidRDefault="00FE5BA7" w:rsidP="00FE5BA7">
      <w:pPr>
        <w:pStyle w:val="ListParagraph"/>
        <w:numPr>
          <w:ilvl w:val="0"/>
          <w:numId w:val="1"/>
        </w:numPr>
        <w:spacing w:after="100" w:afterAutospacing="1" w:line="240" w:lineRule="auto"/>
        <w:rPr>
          <w:rFonts w:ascii="Helvetica" w:eastAsia="Times New Roman" w:hAnsi="Helvetica" w:cs="Helvetica"/>
          <w:i/>
          <w:color w:val="0A1B32"/>
          <w:sz w:val="27"/>
          <w:szCs w:val="27"/>
          <w:lang w:val="en-US" w:eastAsia="pl-PL"/>
        </w:rPr>
      </w:pPr>
      <w:r>
        <w:rPr>
          <w:rFonts w:ascii="Helvetica" w:eastAsia="Times New Roman" w:hAnsi="Helvetica" w:cs="Helvetica"/>
          <w:i/>
          <w:color w:val="0A1B32"/>
          <w:sz w:val="27"/>
          <w:szCs w:val="27"/>
          <w:lang w:val="en-US" w:eastAsia="pl-PL"/>
        </w:rPr>
        <w:t>Static measure</w:t>
      </w:r>
      <w:bookmarkStart w:id="0" w:name="_GoBack"/>
      <w:bookmarkEnd w:id="0"/>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 xml:space="preserve">3. What is non-Linear </w:t>
      </w:r>
      <w:proofErr w:type="spellStart"/>
      <w:r w:rsidRPr="00754929">
        <w:rPr>
          <w:rFonts w:ascii="Helvetica" w:eastAsia="Times New Roman" w:hAnsi="Helvetica" w:cs="Helvetica"/>
          <w:b/>
          <w:color w:val="0A1B32"/>
          <w:sz w:val="27"/>
          <w:szCs w:val="27"/>
          <w:lang w:val="en-US" w:eastAsia="pl-PL"/>
        </w:rPr>
        <w:t>VaR</w:t>
      </w:r>
      <w:proofErr w:type="spellEnd"/>
      <w:r w:rsidRPr="00754929">
        <w:rPr>
          <w:rFonts w:ascii="Helvetica" w:eastAsia="Times New Roman" w:hAnsi="Helvetica" w:cs="Helvetica"/>
          <w:b/>
          <w:color w:val="0A1B32"/>
          <w:sz w:val="27"/>
          <w:szCs w:val="27"/>
          <w:lang w:val="en-US" w:eastAsia="pl-PL"/>
        </w:rPr>
        <w:t>? How would you calculate it?</w:t>
      </w:r>
    </w:p>
    <w:p w:rsidR="00922D64" w:rsidRPr="00922D64" w:rsidRDefault="00922D64" w:rsidP="00922D64">
      <w:pPr>
        <w:spacing w:after="100" w:afterAutospacing="1" w:line="240" w:lineRule="auto"/>
        <w:rPr>
          <w:rFonts w:ascii="Helvetica" w:eastAsia="Times New Roman" w:hAnsi="Helvetica" w:cs="Helvetica"/>
          <w:b/>
          <w:color w:val="0A1B32"/>
          <w:sz w:val="27"/>
          <w:szCs w:val="27"/>
          <w:lang w:val="en-US" w:eastAsia="pl-PL"/>
        </w:rPr>
      </w:pPr>
      <w:r w:rsidRPr="00922D64">
        <w:rPr>
          <w:rFonts w:ascii="Helvetica" w:eastAsia="Times New Roman" w:hAnsi="Helvetica" w:cs="Helvetica"/>
          <w:b/>
          <w:color w:val="0A1B32"/>
          <w:sz w:val="27"/>
          <w:szCs w:val="27"/>
          <w:lang w:val="en-US" w:eastAsia="pl-PL"/>
        </w:rPr>
        <w:t>KEY TAKEAWAYS</w:t>
      </w:r>
    </w:p>
    <w:p w:rsidR="00922D64" w:rsidRPr="00922D64" w:rsidRDefault="00922D64" w:rsidP="00922D64">
      <w:pPr>
        <w:pStyle w:val="ListParagraph"/>
        <w:numPr>
          <w:ilvl w:val="0"/>
          <w:numId w:val="5"/>
        </w:numPr>
        <w:spacing w:after="100" w:afterAutospacing="1" w:line="240" w:lineRule="auto"/>
        <w:jc w:val="both"/>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Traders and investors aim to minimize the risk and potential losses of their trading portfolios.</w:t>
      </w:r>
    </w:p>
    <w:p w:rsidR="00922D64" w:rsidRPr="00922D64" w:rsidRDefault="00922D64" w:rsidP="00922D64">
      <w:pPr>
        <w:pStyle w:val="ListParagraph"/>
        <w:numPr>
          <w:ilvl w:val="0"/>
          <w:numId w:val="5"/>
        </w:numPr>
        <w:spacing w:after="100" w:afterAutospacing="1" w:line="240" w:lineRule="auto"/>
        <w:jc w:val="both"/>
        <w:rPr>
          <w:rFonts w:ascii="Helvetica" w:eastAsia="Times New Roman" w:hAnsi="Helvetica" w:cs="Helvetica"/>
          <w:i/>
          <w:color w:val="0A1B32"/>
          <w:sz w:val="27"/>
          <w:szCs w:val="27"/>
          <w:lang w:val="en-US" w:eastAsia="pl-PL"/>
        </w:rPr>
      </w:pPr>
      <w:proofErr w:type="spellStart"/>
      <w:r w:rsidRPr="00922D64">
        <w:rPr>
          <w:rFonts w:ascii="Helvetica" w:eastAsia="Times New Roman" w:hAnsi="Helvetica" w:cs="Helvetica"/>
          <w:i/>
          <w:color w:val="0A1B32"/>
          <w:sz w:val="27"/>
          <w:szCs w:val="27"/>
          <w:lang w:val="en-US" w:eastAsia="pl-PL"/>
        </w:rPr>
        <w:t>VaR</w:t>
      </w:r>
      <w:proofErr w:type="spellEnd"/>
      <w:r w:rsidRPr="00922D64">
        <w:rPr>
          <w:rFonts w:ascii="Helvetica" w:eastAsia="Times New Roman" w:hAnsi="Helvetica" w:cs="Helvetica"/>
          <w:i/>
          <w:color w:val="0A1B32"/>
          <w:sz w:val="27"/>
          <w:szCs w:val="27"/>
          <w:lang w:val="en-US" w:eastAsia="pl-PL"/>
        </w:rPr>
        <w:t xml:space="preserve"> measures the potential loss of a portfolio within a specified time frame with a degree of confidence.</w:t>
      </w:r>
    </w:p>
    <w:p w:rsidR="00922D64" w:rsidRPr="00922D64" w:rsidRDefault="00922D64" w:rsidP="00922D64">
      <w:pPr>
        <w:pStyle w:val="ListParagraph"/>
        <w:numPr>
          <w:ilvl w:val="0"/>
          <w:numId w:val="5"/>
        </w:numPr>
        <w:spacing w:after="100" w:afterAutospacing="1" w:line="240" w:lineRule="auto"/>
        <w:jc w:val="both"/>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There are two types of risk exposure: linear and nonlinear.</w:t>
      </w:r>
    </w:p>
    <w:p w:rsidR="00922D64" w:rsidRPr="00922D64" w:rsidRDefault="00922D64" w:rsidP="00922D64">
      <w:pPr>
        <w:pStyle w:val="ListParagraph"/>
        <w:numPr>
          <w:ilvl w:val="0"/>
          <w:numId w:val="5"/>
        </w:numPr>
        <w:spacing w:after="100" w:afterAutospacing="1" w:line="240" w:lineRule="auto"/>
        <w:jc w:val="both"/>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Nonlinear derivatives are those whose payoffs change with time and the location of the strike price to the spot price.</w:t>
      </w:r>
    </w:p>
    <w:p w:rsidR="00922D64" w:rsidRPr="00922D64" w:rsidRDefault="00922D64" w:rsidP="00922D64">
      <w:pPr>
        <w:pStyle w:val="ListParagraph"/>
        <w:numPr>
          <w:ilvl w:val="0"/>
          <w:numId w:val="5"/>
        </w:numPr>
        <w:spacing w:after="100" w:afterAutospacing="1" w:line="240" w:lineRule="auto"/>
        <w:jc w:val="both"/>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Nonlinear derivatives come with nonlinear risk exposure where the distribution of returns is skewed.</w:t>
      </w:r>
    </w:p>
    <w:p w:rsidR="00922D64" w:rsidRPr="00922D64" w:rsidRDefault="00922D64" w:rsidP="00922D64">
      <w:pPr>
        <w:pStyle w:val="ListParagraph"/>
        <w:numPr>
          <w:ilvl w:val="0"/>
          <w:numId w:val="5"/>
        </w:numPr>
        <w:spacing w:after="100" w:afterAutospacing="1" w:line="240" w:lineRule="auto"/>
        <w:jc w:val="both"/>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 xml:space="preserve">Because the returns of a nonlinear derivative are not normally distributed, a standard </w:t>
      </w:r>
      <w:proofErr w:type="spellStart"/>
      <w:r w:rsidRPr="00922D64">
        <w:rPr>
          <w:rFonts w:ascii="Helvetica" w:eastAsia="Times New Roman" w:hAnsi="Helvetica" w:cs="Helvetica"/>
          <w:i/>
          <w:color w:val="0A1B32"/>
          <w:sz w:val="27"/>
          <w:szCs w:val="27"/>
          <w:lang w:val="en-US" w:eastAsia="pl-PL"/>
        </w:rPr>
        <w:t>VaR</w:t>
      </w:r>
      <w:proofErr w:type="spellEnd"/>
      <w:r w:rsidRPr="00922D64">
        <w:rPr>
          <w:rFonts w:ascii="Helvetica" w:eastAsia="Times New Roman" w:hAnsi="Helvetica" w:cs="Helvetica"/>
          <w:i/>
          <w:color w:val="0A1B32"/>
          <w:sz w:val="27"/>
          <w:szCs w:val="27"/>
          <w:lang w:val="en-US" w:eastAsia="pl-PL"/>
        </w:rPr>
        <w:t xml:space="preserve"> model would not work and instead, another model, such as a Monte Carlo </w:t>
      </w:r>
      <w:proofErr w:type="spellStart"/>
      <w:r w:rsidRPr="00922D64">
        <w:rPr>
          <w:rFonts w:ascii="Helvetica" w:eastAsia="Times New Roman" w:hAnsi="Helvetica" w:cs="Helvetica"/>
          <w:i/>
          <w:color w:val="0A1B32"/>
          <w:sz w:val="27"/>
          <w:szCs w:val="27"/>
          <w:lang w:val="en-US" w:eastAsia="pl-PL"/>
        </w:rPr>
        <w:t>VaR</w:t>
      </w:r>
      <w:proofErr w:type="spellEnd"/>
      <w:r w:rsidRPr="00922D64">
        <w:rPr>
          <w:rFonts w:ascii="Helvetica" w:eastAsia="Times New Roman" w:hAnsi="Helvetica" w:cs="Helvetica"/>
          <w:i/>
          <w:color w:val="0A1B32"/>
          <w:sz w:val="27"/>
          <w:szCs w:val="27"/>
          <w:lang w:val="en-US" w:eastAsia="pl-PL"/>
        </w:rPr>
        <w:t>, would need to be used.</w:t>
      </w:r>
    </w:p>
    <w:p w:rsidR="00922D64" w:rsidRPr="00922D64" w:rsidRDefault="00922D64" w:rsidP="00922D64">
      <w:pPr>
        <w:spacing w:after="100" w:afterAutospacing="1" w:line="240" w:lineRule="auto"/>
        <w:rPr>
          <w:rFonts w:ascii="Helvetica" w:eastAsia="Times New Roman" w:hAnsi="Helvetica" w:cs="Helvetica"/>
          <w:b/>
          <w:color w:val="0A1B32"/>
          <w:sz w:val="27"/>
          <w:szCs w:val="27"/>
          <w:lang w:val="en-US" w:eastAsia="pl-PL"/>
        </w:rPr>
      </w:pPr>
      <w:r w:rsidRPr="00922D64">
        <w:rPr>
          <w:rFonts w:ascii="Helvetica" w:eastAsia="Times New Roman" w:hAnsi="Helvetica" w:cs="Helvetica"/>
          <w:b/>
          <w:color w:val="0A1B32"/>
          <w:sz w:val="27"/>
          <w:szCs w:val="27"/>
          <w:lang w:val="en-US" w:eastAsia="pl-PL"/>
        </w:rPr>
        <w:t>Nonlinear Considerations</w:t>
      </w:r>
    </w:p>
    <w:p w:rsidR="00922D64" w:rsidRPr="00922D64" w:rsidRDefault="00922D64" w:rsidP="00922D64">
      <w:pPr>
        <w:spacing w:after="100" w:afterAutospacing="1" w:line="240" w:lineRule="auto"/>
        <w:jc w:val="both"/>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 xml:space="preserve">Nonlinear risk exposure arises in the </w:t>
      </w:r>
      <w:proofErr w:type="spellStart"/>
      <w:r w:rsidRPr="00922D64">
        <w:rPr>
          <w:rFonts w:ascii="Helvetica" w:eastAsia="Times New Roman" w:hAnsi="Helvetica" w:cs="Helvetica"/>
          <w:i/>
          <w:color w:val="0A1B32"/>
          <w:sz w:val="27"/>
          <w:szCs w:val="27"/>
          <w:lang w:val="en-US" w:eastAsia="pl-PL"/>
        </w:rPr>
        <w:t>VaR</w:t>
      </w:r>
      <w:proofErr w:type="spellEnd"/>
      <w:r w:rsidRPr="00922D64">
        <w:rPr>
          <w:rFonts w:ascii="Helvetica" w:eastAsia="Times New Roman" w:hAnsi="Helvetica" w:cs="Helvetica"/>
          <w:i/>
          <w:color w:val="0A1B32"/>
          <w:sz w:val="27"/>
          <w:szCs w:val="27"/>
          <w:lang w:val="en-US" w:eastAsia="pl-PL"/>
        </w:rPr>
        <w:t xml:space="preserve"> calculation of a portfolio of nonlinear derivatives. Nonlinear derivatives, such as options, depend on a </w:t>
      </w:r>
      <w:r w:rsidRPr="00922D64">
        <w:rPr>
          <w:rFonts w:ascii="Helvetica" w:eastAsia="Times New Roman" w:hAnsi="Helvetica" w:cs="Helvetica"/>
          <w:i/>
          <w:color w:val="0A1B32"/>
          <w:sz w:val="27"/>
          <w:szCs w:val="27"/>
          <w:lang w:val="en-US" w:eastAsia="pl-PL"/>
        </w:rPr>
        <w:lastRenderedPageBreak/>
        <w:t>variety of characteristics, including implied volatility, time to maturity, underlying asset price, and the current interest rate.</w:t>
      </w:r>
    </w:p>
    <w:p w:rsidR="00922D64" w:rsidRPr="00922D64" w:rsidRDefault="00922D64" w:rsidP="00922D64">
      <w:pPr>
        <w:spacing w:after="100" w:afterAutospacing="1" w:line="240" w:lineRule="auto"/>
        <w:jc w:val="both"/>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 xml:space="preserve">It is difficult to collect the historical data on the returns because the option returns would need to be conditioned on all of the characteristics to use the standard </w:t>
      </w:r>
      <w:proofErr w:type="spellStart"/>
      <w:r w:rsidRPr="00922D64">
        <w:rPr>
          <w:rFonts w:ascii="Helvetica" w:eastAsia="Times New Roman" w:hAnsi="Helvetica" w:cs="Helvetica"/>
          <w:i/>
          <w:color w:val="0A1B32"/>
          <w:sz w:val="27"/>
          <w:szCs w:val="27"/>
          <w:lang w:val="en-US" w:eastAsia="pl-PL"/>
        </w:rPr>
        <w:t>VaR</w:t>
      </w:r>
      <w:proofErr w:type="spellEnd"/>
      <w:r w:rsidRPr="00922D64">
        <w:rPr>
          <w:rFonts w:ascii="Helvetica" w:eastAsia="Times New Roman" w:hAnsi="Helvetica" w:cs="Helvetica"/>
          <w:i/>
          <w:color w:val="0A1B32"/>
          <w:sz w:val="27"/>
          <w:szCs w:val="27"/>
          <w:lang w:val="en-US" w:eastAsia="pl-PL"/>
        </w:rPr>
        <w:t xml:space="preserve"> approach. Inputting all of the characteristics associated with options into the Black-Scholes model or another option pricing model causes the models to be nonlinear due to the nature of the derivative. Therefore, the payoff curves are nonlinear because the corresponding value is not proportional to the input due to the time and volatility portion of the model, in particular since options are wasting assets.</w:t>
      </w:r>
    </w:p>
    <w:p w:rsidR="00922D64" w:rsidRPr="00922D64" w:rsidRDefault="00922D64" w:rsidP="00922D64">
      <w:pPr>
        <w:spacing w:after="100" w:afterAutospacing="1" w:line="240" w:lineRule="auto"/>
        <w:jc w:val="both"/>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 xml:space="preserve">The nonlinearity of certain derivatives leads to nonlinear risk exposures in the </w:t>
      </w:r>
      <w:proofErr w:type="spellStart"/>
      <w:r w:rsidRPr="00922D64">
        <w:rPr>
          <w:rFonts w:ascii="Helvetica" w:eastAsia="Times New Roman" w:hAnsi="Helvetica" w:cs="Helvetica"/>
          <w:i/>
          <w:color w:val="0A1B32"/>
          <w:sz w:val="27"/>
          <w:szCs w:val="27"/>
          <w:lang w:val="en-US" w:eastAsia="pl-PL"/>
        </w:rPr>
        <w:t>VaR</w:t>
      </w:r>
      <w:proofErr w:type="spellEnd"/>
      <w:r w:rsidRPr="00922D64">
        <w:rPr>
          <w:rFonts w:ascii="Helvetica" w:eastAsia="Times New Roman" w:hAnsi="Helvetica" w:cs="Helvetica"/>
          <w:i/>
          <w:color w:val="0A1B32"/>
          <w:sz w:val="27"/>
          <w:szCs w:val="27"/>
          <w:lang w:val="en-US" w:eastAsia="pl-PL"/>
        </w:rPr>
        <w:t xml:space="preserve"> of a portfolio. Nonlinearity can be witnessed in the payoff diagram of a plain vanilla call option. The payoff diagram has a strong positive convex payoff profile before the option's expiration date, w</w:t>
      </w:r>
      <w:r>
        <w:rPr>
          <w:rFonts w:ascii="Helvetica" w:eastAsia="Times New Roman" w:hAnsi="Helvetica" w:cs="Helvetica"/>
          <w:i/>
          <w:color w:val="0A1B32"/>
          <w:sz w:val="27"/>
          <w:szCs w:val="27"/>
          <w:lang w:val="en-US" w:eastAsia="pl-PL"/>
        </w:rPr>
        <w:t>ith respect to the stock price.</w:t>
      </w:r>
    </w:p>
    <w:p w:rsidR="00922D64" w:rsidRPr="00922D64" w:rsidRDefault="00922D64" w:rsidP="00922D64">
      <w:pPr>
        <w:spacing w:after="100" w:afterAutospacing="1" w:line="240" w:lineRule="auto"/>
        <w:jc w:val="both"/>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When the call option reaches a point where the option is in the money, it reaches a point where the payoff becomes linear. Conversely, as a call option becomes increasingly out of the money, the rate at which the option loses money decreases un</w:t>
      </w:r>
      <w:r>
        <w:rPr>
          <w:rFonts w:ascii="Helvetica" w:eastAsia="Times New Roman" w:hAnsi="Helvetica" w:cs="Helvetica"/>
          <w:i/>
          <w:color w:val="0A1B32"/>
          <w:sz w:val="27"/>
          <w:szCs w:val="27"/>
          <w:lang w:val="en-US" w:eastAsia="pl-PL"/>
        </w:rPr>
        <w:t>til the option premium is zero.</w:t>
      </w:r>
    </w:p>
    <w:p w:rsidR="00922D64" w:rsidRPr="00922D64" w:rsidRDefault="00922D64" w:rsidP="00922D64">
      <w:pPr>
        <w:spacing w:after="100" w:afterAutospacing="1" w:line="240" w:lineRule="auto"/>
        <w:rPr>
          <w:rFonts w:ascii="Helvetica" w:eastAsia="Times New Roman" w:hAnsi="Helvetica" w:cs="Helvetica"/>
          <w:b/>
          <w:color w:val="0A1B32"/>
          <w:sz w:val="27"/>
          <w:szCs w:val="27"/>
          <w:lang w:val="en-US" w:eastAsia="pl-PL"/>
        </w:rPr>
      </w:pPr>
      <w:r w:rsidRPr="00922D64">
        <w:rPr>
          <w:rFonts w:ascii="Helvetica" w:eastAsia="Times New Roman" w:hAnsi="Helvetica" w:cs="Helvetica"/>
          <w:b/>
          <w:color w:val="0A1B32"/>
          <w:sz w:val="27"/>
          <w:szCs w:val="27"/>
          <w:lang w:val="en-US" w:eastAsia="pl-PL"/>
        </w:rPr>
        <w:t>Kurtosis</w:t>
      </w:r>
    </w:p>
    <w:p w:rsidR="00922D64" w:rsidRPr="00922D64" w:rsidRDefault="00922D64" w:rsidP="00922D64">
      <w:pPr>
        <w:spacing w:after="100" w:afterAutospacing="1" w:line="240" w:lineRule="auto"/>
        <w:jc w:val="both"/>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If a portfolio includes nonlinear derivatives, such as options, the distribution of the portfolio returns will have a positive or negative skew or high or low kurtosis. The skewness measures the asymmetry of a probability distribution around its mean. Kurtosis measures the distribution around the mean; a high kurtosis has fatter tail ends of the distribution, and a low kurtosis has skinny tail ends of the distribution.</w:t>
      </w:r>
    </w:p>
    <w:p w:rsidR="00922D64" w:rsidRPr="00754929" w:rsidRDefault="00922D64" w:rsidP="00922D64">
      <w:pPr>
        <w:spacing w:after="100" w:afterAutospacing="1" w:line="240" w:lineRule="auto"/>
        <w:jc w:val="both"/>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 xml:space="preserve">Therefore, it is difficult to use the </w:t>
      </w:r>
      <w:proofErr w:type="spellStart"/>
      <w:r w:rsidRPr="00922D64">
        <w:rPr>
          <w:rFonts w:ascii="Helvetica" w:eastAsia="Times New Roman" w:hAnsi="Helvetica" w:cs="Helvetica"/>
          <w:i/>
          <w:color w:val="0A1B32"/>
          <w:sz w:val="27"/>
          <w:szCs w:val="27"/>
          <w:lang w:val="en-US" w:eastAsia="pl-PL"/>
        </w:rPr>
        <w:t>VaR</w:t>
      </w:r>
      <w:proofErr w:type="spellEnd"/>
      <w:r w:rsidRPr="00922D64">
        <w:rPr>
          <w:rFonts w:ascii="Helvetica" w:eastAsia="Times New Roman" w:hAnsi="Helvetica" w:cs="Helvetica"/>
          <w:i/>
          <w:color w:val="0A1B32"/>
          <w:sz w:val="27"/>
          <w:szCs w:val="27"/>
          <w:lang w:val="en-US" w:eastAsia="pl-PL"/>
        </w:rPr>
        <w:t xml:space="preserve"> method that assumes the returns are normally distributed. Instead, the </w:t>
      </w:r>
      <w:proofErr w:type="spellStart"/>
      <w:r w:rsidRPr="00922D64">
        <w:rPr>
          <w:rFonts w:ascii="Helvetica" w:eastAsia="Times New Roman" w:hAnsi="Helvetica" w:cs="Helvetica"/>
          <w:i/>
          <w:color w:val="0A1B32"/>
          <w:sz w:val="27"/>
          <w:szCs w:val="27"/>
          <w:lang w:val="en-US" w:eastAsia="pl-PL"/>
        </w:rPr>
        <w:t>VaR</w:t>
      </w:r>
      <w:proofErr w:type="spellEnd"/>
      <w:r w:rsidRPr="00922D64">
        <w:rPr>
          <w:rFonts w:ascii="Helvetica" w:eastAsia="Times New Roman" w:hAnsi="Helvetica" w:cs="Helvetica"/>
          <w:i/>
          <w:color w:val="0A1B32"/>
          <w:sz w:val="27"/>
          <w:szCs w:val="27"/>
          <w:lang w:val="en-US" w:eastAsia="pl-PL"/>
        </w:rPr>
        <w:t xml:space="preserve"> calculation of a portfolio containing nonlinear exposures is usually calculated using Monte Carlo </w:t>
      </w:r>
      <w:proofErr w:type="spellStart"/>
      <w:r w:rsidRPr="00922D64">
        <w:rPr>
          <w:rFonts w:ascii="Helvetica" w:eastAsia="Times New Roman" w:hAnsi="Helvetica" w:cs="Helvetica"/>
          <w:i/>
          <w:color w:val="0A1B32"/>
          <w:sz w:val="27"/>
          <w:szCs w:val="27"/>
          <w:lang w:val="en-US" w:eastAsia="pl-PL"/>
        </w:rPr>
        <w:t>VaR</w:t>
      </w:r>
      <w:proofErr w:type="spellEnd"/>
      <w:r w:rsidRPr="00922D64">
        <w:rPr>
          <w:rFonts w:ascii="Helvetica" w:eastAsia="Times New Roman" w:hAnsi="Helvetica" w:cs="Helvetica"/>
          <w:i/>
          <w:color w:val="0A1B32"/>
          <w:sz w:val="27"/>
          <w:szCs w:val="27"/>
          <w:lang w:val="en-US" w:eastAsia="pl-PL"/>
        </w:rPr>
        <w:t xml:space="preserve"> simulations of options pricing models to estimate the </w:t>
      </w:r>
      <w:proofErr w:type="spellStart"/>
      <w:r w:rsidRPr="00922D64">
        <w:rPr>
          <w:rFonts w:ascii="Helvetica" w:eastAsia="Times New Roman" w:hAnsi="Helvetica" w:cs="Helvetica"/>
          <w:i/>
          <w:color w:val="0A1B32"/>
          <w:sz w:val="27"/>
          <w:szCs w:val="27"/>
          <w:lang w:val="en-US" w:eastAsia="pl-PL"/>
        </w:rPr>
        <w:t>VaR</w:t>
      </w:r>
      <w:proofErr w:type="spellEnd"/>
      <w:r w:rsidRPr="00922D64">
        <w:rPr>
          <w:rFonts w:ascii="Helvetica" w:eastAsia="Times New Roman" w:hAnsi="Helvetica" w:cs="Helvetica"/>
          <w:i/>
          <w:color w:val="0A1B32"/>
          <w:sz w:val="27"/>
          <w:szCs w:val="27"/>
          <w:lang w:val="en-US" w:eastAsia="pl-PL"/>
        </w:rPr>
        <w:t xml:space="preserve"> of the portfolio.</w:t>
      </w:r>
    </w:p>
    <w:p w:rsidR="00754929" w:rsidRDefault="00754929" w:rsidP="00922D64">
      <w:pPr>
        <w:spacing w:after="100" w:afterAutospacing="1" w:line="240" w:lineRule="auto"/>
        <w:jc w:val="both"/>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 xml:space="preserve">4. What is the parametric method of calculating </w:t>
      </w:r>
      <w:proofErr w:type="spellStart"/>
      <w:r w:rsidRPr="00754929">
        <w:rPr>
          <w:rFonts w:ascii="Helvetica" w:eastAsia="Times New Roman" w:hAnsi="Helvetica" w:cs="Helvetica"/>
          <w:b/>
          <w:color w:val="0A1B32"/>
          <w:sz w:val="27"/>
          <w:szCs w:val="27"/>
          <w:lang w:val="en-US" w:eastAsia="pl-PL"/>
        </w:rPr>
        <w:t>VaR</w:t>
      </w:r>
      <w:proofErr w:type="spellEnd"/>
      <w:r w:rsidRPr="00754929">
        <w:rPr>
          <w:rFonts w:ascii="Helvetica" w:eastAsia="Times New Roman" w:hAnsi="Helvetica" w:cs="Helvetica"/>
          <w:b/>
          <w:color w:val="0A1B32"/>
          <w:sz w:val="27"/>
          <w:szCs w:val="27"/>
          <w:lang w:val="en-US" w:eastAsia="pl-PL"/>
        </w:rPr>
        <w:t>? What are its advantages?</w:t>
      </w:r>
    </w:p>
    <w:p w:rsidR="00922D64" w:rsidRPr="00922D64" w:rsidRDefault="00922D64" w:rsidP="00754929">
      <w:pPr>
        <w:spacing w:after="100" w:afterAutospacing="1" w:line="240" w:lineRule="auto"/>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 Estimate parameters of the assumed distribution (often Gaussian) based on historical returns</w:t>
      </w:r>
    </w:p>
    <w:p w:rsidR="00922D64" w:rsidRPr="00922D64" w:rsidRDefault="00922D64" w:rsidP="00754929">
      <w:pPr>
        <w:spacing w:after="100" w:afterAutospacing="1" w:line="240" w:lineRule="auto"/>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 xml:space="preserve">- Calculate </w:t>
      </w:r>
      <w:proofErr w:type="spellStart"/>
      <w:r w:rsidRPr="00922D64">
        <w:rPr>
          <w:rFonts w:ascii="Helvetica" w:eastAsia="Times New Roman" w:hAnsi="Helvetica" w:cs="Helvetica"/>
          <w:i/>
          <w:color w:val="0A1B32"/>
          <w:sz w:val="27"/>
          <w:szCs w:val="27"/>
          <w:lang w:val="en-US" w:eastAsia="pl-PL"/>
        </w:rPr>
        <w:t>VaR</w:t>
      </w:r>
      <w:proofErr w:type="spellEnd"/>
      <w:r w:rsidRPr="00922D64">
        <w:rPr>
          <w:rFonts w:ascii="Helvetica" w:eastAsia="Times New Roman" w:hAnsi="Helvetica" w:cs="Helvetica"/>
          <w:i/>
          <w:color w:val="0A1B32"/>
          <w:sz w:val="27"/>
          <w:szCs w:val="27"/>
          <w:lang w:val="en-US" w:eastAsia="pl-PL"/>
        </w:rPr>
        <w:t xml:space="preserve"> from the formula for the percentile of the distribution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73"/>
        <w:gridCol w:w="3664"/>
      </w:tblGrid>
      <w:tr w:rsidR="00922D64" w:rsidRPr="00922D64" w:rsidTr="00922D64">
        <w:tc>
          <w:tcPr>
            <w:tcW w:w="0" w:type="auto"/>
            <w:tcBorders>
              <w:top w:val="nil"/>
              <w:bottom w:val="nil"/>
              <w:right w:val="single" w:sz="6" w:space="0" w:color="D4D4D4"/>
            </w:tcBorders>
            <w:shd w:val="clear" w:color="auto" w:fill="F5F5F6"/>
            <w:vAlign w:val="center"/>
            <w:hideMark/>
          </w:tcPr>
          <w:p w:rsidR="00922D64" w:rsidRPr="00922D64" w:rsidRDefault="00922D64" w:rsidP="00922D64">
            <w:pPr>
              <w:spacing w:after="0" w:line="240" w:lineRule="auto"/>
              <w:rPr>
                <w:rFonts w:ascii="Arial" w:eastAsia="Times New Roman" w:hAnsi="Arial" w:cs="Arial"/>
                <w:color w:val="111111"/>
                <w:spacing w:val="1"/>
                <w:sz w:val="27"/>
                <w:szCs w:val="27"/>
                <w:lang w:eastAsia="pl-PL"/>
              </w:rPr>
            </w:pPr>
            <w:r w:rsidRPr="00922D64">
              <w:rPr>
                <w:rFonts w:ascii="Arial" w:eastAsia="Times New Roman" w:hAnsi="Arial" w:cs="Arial"/>
                <w:b/>
                <w:bCs/>
                <w:color w:val="111111"/>
                <w:spacing w:val="1"/>
                <w:sz w:val="27"/>
                <w:szCs w:val="27"/>
                <w:lang w:eastAsia="pl-PL"/>
              </w:rPr>
              <w:lastRenderedPageBreak/>
              <w:t>Confidence</w:t>
            </w:r>
          </w:p>
        </w:tc>
        <w:tc>
          <w:tcPr>
            <w:tcW w:w="0" w:type="auto"/>
            <w:tcBorders>
              <w:top w:val="nil"/>
              <w:bottom w:val="nil"/>
              <w:right w:val="nil"/>
            </w:tcBorders>
            <w:shd w:val="clear" w:color="auto" w:fill="F5F5F6"/>
            <w:vAlign w:val="center"/>
            <w:hideMark/>
          </w:tcPr>
          <w:p w:rsidR="00922D64" w:rsidRPr="00922D64" w:rsidRDefault="00922D64" w:rsidP="00922D64">
            <w:pPr>
              <w:spacing w:after="0" w:line="240" w:lineRule="auto"/>
              <w:rPr>
                <w:rFonts w:ascii="Arial" w:eastAsia="Times New Roman" w:hAnsi="Arial" w:cs="Arial"/>
                <w:color w:val="111111"/>
                <w:spacing w:val="1"/>
                <w:sz w:val="27"/>
                <w:szCs w:val="27"/>
                <w:lang w:eastAsia="pl-PL"/>
              </w:rPr>
            </w:pPr>
            <w:r w:rsidRPr="00922D64">
              <w:rPr>
                <w:rFonts w:ascii="Arial" w:eastAsia="Times New Roman" w:hAnsi="Arial" w:cs="Arial"/>
                <w:b/>
                <w:bCs/>
                <w:color w:val="111111"/>
                <w:spacing w:val="1"/>
                <w:sz w:val="27"/>
                <w:szCs w:val="27"/>
                <w:lang w:eastAsia="pl-PL"/>
              </w:rPr>
              <w:t># of Standard Deviations (σ)</w:t>
            </w:r>
          </w:p>
        </w:tc>
      </w:tr>
      <w:tr w:rsidR="00922D64" w:rsidRPr="00922D64" w:rsidTr="00922D64">
        <w:tc>
          <w:tcPr>
            <w:tcW w:w="0" w:type="auto"/>
            <w:tcBorders>
              <w:top w:val="nil"/>
              <w:bottom w:val="nil"/>
              <w:right w:val="single" w:sz="6" w:space="0" w:color="D4D4D4"/>
            </w:tcBorders>
            <w:shd w:val="clear" w:color="auto" w:fill="FFFFFF"/>
            <w:vAlign w:val="center"/>
            <w:hideMark/>
          </w:tcPr>
          <w:p w:rsidR="00922D64" w:rsidRPr="00922D64" w:rsidRDefault="00922D64" w:rsidP="00922D64">
            <w:pPr>
              <w:spacing w:after="0" w:line="240" w:lineRule="auto"/>
              <w:rPr>
                <w:rFonts w:ascii="Arial" w:eastAsia="Times New Roman" w:hAnsi="Arial" w:cs="Arial"/>
                <w:color w:val="111111"/>
                <w:spacing w:val="1"/>
                <w:sz w:val="27"/>
                <w:szCs w:val="27"/>
                <w:lang w:eastAsia="pl-PL"/>
              </w:rPr>
            </w:pPr>
            <w:r w:rsidRPr="00922D64">
              <w:rPr>
                <w:rFonts w:ascii="Arial" w:eastAsia="Times New Roman" w:hAnsi="Arial" w:cs="Arial"/>
                <w:color w:val="111111"/>
                <w:spacing w:val="1"/>
                <w:sz w:val="27"/>
                <w:szCs w:val="27"/>
                <w:lang w:eastAsia="pl-PL"/>
              </w:rPr>
              <w:t>95% (high)</w:t>
            </w:r>
          </w:p>
        </w:tc>
        <w:tc>
          <w:tcPr>
            <w:tcW w:w="0" w:type="auto"/>
            <w:tcBorders>
              <w:top w:val="nil"/>
              <w:bottom w:val="nil"/>
              <w:right w:val="nil"/>
            </w:tcBorders>
            <w:shd w:val="clear" w:color="auto" w:fill="FFFFFF"/>
            <w:vAlign w:val="center"/>
            <w:hideMark/>
          </w:tcPr>
          <w:p w:rsidR="00922D64" w:rsidRPr="00922D64" w:rsidRDefault="00922D64" w:rsidP="00922D64">
            <w:pPr>
              <w:spacing w:after="0" w:line="240" w:lineRule="auto"/>
              <w:rPr>
                <w:rFonts w:ascii="Arial" w:eastAsia="Times New Roman" w:hAnsi="Arial" w:cs="Arial"/>
                <w:color w:val="111111"/>
                <w:spacing w:val="1"/>
                <w:sz w:val="27"/>
                <w:szCs w:val="27"/>
                <w:lang w:eastAsia="pl-PL"/>
              </w:rPr>
            </w:pPr>
            <w:r w:rsidRPr="00922D64">
              <w:rPr>
                <w:rFonts w:ascii="Arial" w:eastAsia="Times New Roman" w:hAnsi="Arial" w:cs="Arial"/>
                <w:color w:val="111111"/>
                <w:spacing w:val="1"/>
                <w:sz w:val="27"/>
                <w:szCs w:val="27"/>
                <w:lang w:eastAsia="pl-PL"/>
              </w:rPr>
              <w:t>- 1.65 x σ</w:t>
            </w:r>
          </w:p>
        </w:tc>
      </w:tr>
      <w:tr w:rsidR="00922D64" w:rsidRPr="00922D64" w:rsidTr="00922D64">
        <w:tc>
          <w:tcPr>
            <w:tcW w:w="0" w:type="auto"/>
            <w:tcBorders>
              <w:top w:val="nil"/>
              <w:bottom w:val="nil"/>
              <w:right w:val="single" w:sz="6" w:space="0" w:color="D4D4D4"/>
            </w:tcBorders>
            <w:shd w:val="clear" w:color="auto" w:fill="F5F5F6"/>
            <w:vAlign w:val="center"/>
            <w:hideMark/>
          </w:tcPr>
          <w:p w:rsidR="00922D64" w:rsidRPr="00922D64" w:rsidRDefault="00922D64" w:rsidP="00922D64">
            <w:pPr>
              <w:spacing w:after="0" w:line="240" w:lineRule="auto"/>
              <w:rPr>
                <w:rFonts w:ascii="Arial" w:eastAsia="Times New Roman" w:hAnsi="Arial" w:cs="Arial"/>
                <w:color w:val="111111"/>
                <w:spacing w:val="1"/>
                <w:sz w:val="27"/>
                <w:szCs w:val="27"/>
                <w:lang w:eastAsia="pl-PL"/>
              </w:rPr>
            </w:pPr>
            <w:r w:rsidRPr="00922D64">
              <w:rPr>
                <w:rFonts w:ascii="Arial" w:eastAsia="Times New Roman" w:hAnsi="Arial" w:cs="Arial"/>
                <w:color w:val="111111"/>
                <w:spacing w:val="1"/>
                <w:sz w:val="27"/>
                <w:szCs w:val="27"/>
                <w:lang w:eastAsia="pl-PL"/>
              </w:rPr>
              <w:t>99% (really high)</w:t>
            </w:r>
          </w:p>
        </w:tc>
        <w:tc>
          <w:tcPr>
            <w:tcW w:w="0" w:type="auto"/>
            <w:tcBorders>
              <w:top w:val="nil"/>
              <w:bottom w:val="nil"/>
              <w:right w:val="nil"/>
            </w:tcBorders>
            <w:shd w:val="clear" w:color="auto" w:fill="F5F5F6"/>
            <w:vAlign w:val="center"/>
            <w:hideMark/>
          </w:tcPr>
          <w:p w:rsidR="00922D64" w:rsidRPr="00922D64" w:rsidRDefault="00922D64" w:rsidP="00922D64">
            <w:pPr>
              <w:spacing w:after="0" w:line="240" w:lineRule="auto"/>
              <w:rPr>
                <w:rFonts w:ascii="Arial" w:eastAsia="Times New Roman" w:hAnsi="Arial" w:cs="Arial"/>
                <w:color w:val="111111"/>
                <w:spacing w:val="1"/>
                <w:sz w:val="27"/>
                <w:szCs w:val="27"/>
                <w:lang w:eastAsia="pl-PL"/>
              </w:rPr>
            </w:pPr>
            <w:r w:rsidRPr="00922D64">
              <w:rPr>
                <w:rFonts w:ascii="Arial" w:eastAsia="Times New Roman" w:hAnsi="Arial" w:cs="Arial"/>
                <w:color w:val="111111"/>
                <w:spacing w:val="1"/>
                <w:sz w:val="27"/>
                <w:szCs w:val="27"/>
                <w:lang w:eastAsia="pl-PL"/>
              </w:rPr>
              <w:t>- 2.33 x σ</w:t>
            </w:r>
          </w:p>
        </w:tc>
      </w:tr>
    </w:tbl>
    <w:p w:rsidR="00922D64" w:rsidRDefault="00922D64" w:rsidP="00754929">
      <w:pPr>
        <w:spacing w:after="100" w:afterAutospacing="1" w:line="240" w:lineRule="auto"/>
        <w:rPr>
          <w:rFonts w:ascii="Helvetica" w:eastAsia="Times New Roman" w:hAnsi="Helvetica" w:cs="Helvetica"/>
          <w:b/>
          <w:color w:val="0A1B32"/>
          <w:sz w:val="27"/>
          <w:szCs w:val="27"/>
          <w:lang w:val="en-US" w:eastAsia="pl-PL"/>
        </w:rPr>
      </w:pPr>
    </w:p>
    <w:p w:rsidR="00922D64" w:rsidRDefault="00922D64" w:rsidP="00754929">
      <w:pPr>
        <w:spacing w:after="100" w:afterAutospacing="1" w:line="240" w:lineRule="auto"/>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Plus mu (average return)</w:t>
      </w:r>
    </w:p>
    <w:p w:rsidR="00922D64" w:rsidRPr="00922D64" w:rsidRDefault="00922D64" w:rsidP="00754929">
      <w:pPr>
        <w:spacing w:after="100" w:afterAutospacing="1" w:line="240" w:lineRule="auto"/>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Advantage:</w:t>
      </w:r>
    </w:p>
    <w:p w:rsidR="00922D64" w:rsidRPr="00922D64" w:rsidRDefault="00922D64" w:rsidP="00754929">
      <w:pPr>
        <w:spacing w:after="100" w:afterAutospacing="1" w:line="240" w:lineRule="auto"/>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 Relatively straightforward method</w:t>
      </w:r>
    </w:p>
    <w:p w:rsidR="00922D64" w:rsidRPr="00922D64" w:rsidRDefault="00922D64" w:rsidP="00754929">
      <w:pPr>
        <w:spacing w:after="100" w:afterAutospacing="1" w:line="240" w:lineRule="auto"/>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 Not expensive computationally</w:t>
      </w:r>
    </w:p>
    <w:p w:rsidR="00922D64" w:rsidRDefault="00922D64" w:rsidP="00754929">
      <w:pPr>
        <w:spacing w:after="100" w:afterAutospacing="1" w:line="240" w:lineRule="auto"/>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 Easily interpretable</w:t>
      </w:r>
    </w:p>
    <w:p w:rsidR="001C1C9E" w:rsidRDefault="001C1C9E" w:rsidP="00F61CC3">
      <w:pPr>
        <w:spacing w:after="100" w:afterAutospacing="1" w:line="240" w:lineRule="auto"/>
        <w:rPr>
          <w:rFonts w:ascii="Helvetica" w:eastAsia="Times New Roman" w:hAnsi="Helvetica" w:cs="Helvetica"/>
          <w:i/>
          <w:color w:val="0A1B32"/>
          <w:sz w:val="27"/>
          <w:szCs w:val="27"/>
          <w:lang w:val="en-US" w:eastAsia="pl-PL"/>
        </w:rPr>
      </w:pPr>
      <w:r w:rsidRPr="001C1C9E">
        <w:rPr>
          <w:rFonts w:ascii="Helvetica" w:eastAsia="Times New Roman" w:hAnsi="Helvetica" w:cs="Helvetica"/>
          <w:i/>
          <w:color w:val="0A1B32"/>
          <w:sz w:val="27"/>
          <w:szCs w:val="27"/>
          <w:lang w:val="en-US" w:eastAsia="pl-PL"/>
        </w:rPr>
        <w:t>Also known as the Variance/Co-variance VAR. Most commonly used in practice with hedge fund managers. Only variables you need is the mean and the standard deviation of the portfolio. Assume that the portfolio is normally distributed.</w:t>
      </w:r>
      <w:r w:rsidRPr="001C1C9E">
        <w:rPr>
          <w:rFonts w:ascii="Helvetica" w:eastAsia="Times New Roman" w:hAnsi="Helvetica" w:cs="Helvetica"/>
          <w:i/>
          <w:color w:val="0A1B32"/>
          <w:sz w:val="27"/>
          <w:szCs w:val="27"/>
          <w:lang w:val="en-US" w:eastAsia="pl-PL"/>
        </w:rPr>
        <w:br/>
      </w:r>
      <w:r w:rsidRPr="001C1C9E">
        <w:rPr>
          <w:rFonts w:ascii="Helvetica" w:eastAsia="Times New Roman" w:hAnsi="Helvetica" w:cs="Helvetica"/>
          <w:i/>
          <w:color w:val="0A1B32"/>
          <w:sz w:val="27"/>
          <w:szCs w:val="27"/>
          <w:lang w:val="en-US" w:eastAsia="pl-PL"/>
        </w:rPr>
        <w:br/>
        <w:t xml:space="preserve">Formula is: Mean - </w:t>
      </w:r>
      <w:proofErr w:type="spellStart"/>
      <w:r w:rsidRPr="001C1C9E">
        <w:rPr>
          <w:rFonts w:ascii="Helvetica" w:eastAsia="Times New Roman" w:hAnsi="Helvetica" w:cs="Helvetica"/>
          <w:i/>
          <w:color w:val="0A1B32"/>
          <w:sz w:val="27"/>
          <w:szCs w:val="27"/>
          <w:lang w:val="en-US" w:eastAsia="pl-PL"/>
        </w:rPr>
        <w:t>Sx</w:t>
      </w:r>
      <w:proofErr w:type="spellEnd"/>
      <w:r w:rsidRPr="001C1C9E">
        <w:rPr>
          <w:rFonts w:ascii="Helvetica" w:eastAsia="Times New Roman" w:hAnsi="Helvetica" w:cs="Helvetica"/>
          <w:i/>
          <w:color w:val="0A1B32"/>
          <w:sz w:val="27"/>
          <w:szCs w:val="27"/>
          <w:lang w:val="en-US" w:eastAsia="pl-PL"/>
        </w:rPr>
        <w:t>(z-Score)</w:t>
      </w:r>
      <w:r w:rsidRPr="001C1C9E">
        <w:rPr>
          <w:rFonts w:ascii="Helvetica" w:eastAsia="Times New Roman" w:hAnsi="Helvetica" w:cs="Helvetica"/>
          <w:i/>
          <w:color w:val="0A1B32"/>
          <w:sz w:val="27"/>
          <w:szCs w:val="27"/>
          <w:lang w:val="en-US" w:eastAsia="pl-PL"/>
        </w:rPr>
        <w:br/>
      </w:r>
      <w:r w:rsidRPr="001C1C9E">
        <w:rPr>
          <w:rFonts w:ascii="Helvetica" w:eastAsia="Times New Roman" w:hAnsi="Helvetica" w:cs="Helvetica"/>
          <w:i/>
          <w:color w:val="0A1B32"/>
          <w:sz w:val="27"/>
          <w:szCs w:val="27"/>
          <w:lang w:val="en-US" w:eastAsia="pl-PL"/>
        </w:rPr>
        <w:br/>
        <w:t xml:space="preserve">Advantages </w:t>
      </w:r>
      <w:r>
        <w:rPr>
          <w:rFonts w:ascii="Helvetica" w:eastAsia="Times New Roman" w:hAnsi="Helvetica" w:cs="Helvetica"/>
          <w:i/>
          <w:color w:val="0A1B32"/>
          <w:sz w:val="27"/>
          <w:szCs w:val="27"/>
          <w:lang w:val="en-US" w:eastAsia="pl-PL"/>
        </w:rPr>
        <w:t>–</w:t>
      </w:r>
      <w:r w:rsidRPr="001C1C9E">
        <w:rPr>
          <w:rFonts w:ascii="Helvetica" w:eastAsia="Times New Roman" w:hAnsi="Helvetica" w:cs="Helvetica"/>
          <w:i/>
          <w:color w:val="0A1B32"/>
          <w:sz w:val="27"/>
          <w:szCs w:val="27"/>
          <w:lang w:val="en-US" w:eastAsia="pl-PL"/>
        </w:rPr>
        <w:t xml:space="preserve"> </w:t>
      </w:r>
    </w:p>
    <w:p w:rsidR="001C1C9E" w:rsidRPr="001C1C9E" w:rsidRDefault="001C1C9E" w:rsidP="00317B89">
      <w:pPr>
        <w:pStyle w:val="ListParagraph"/>
        <w:numPr>
          <w:ilvl w:val="0"/>
          <w:numId w:val="8"/>
        </w:numPr>
        <w:spacing w:after="100" w:afterAutospacing="1" w:line="240" w:lineRule="auto"/>
        <w:jc w:val="both"/>
        <w:rPr>
          <w:rFonts w:ascii="Helvetica" w:eastAsia="Times New Roman" w:hAnsi="Helvetica" w:cs="Helvetica"/>
          <w:i/>
          <w:color w:val="0A1B32"/>
          <w:sz w:val="27"/>
          <w:szCs w:val="27"/>
          <w:lang w:val="en-US" w:eastAsia="pl-PL"/>
        </w:rPr>
      </w:pPr>
      <w:r w:rsidRPr="001C1C9E">
        <w:rPr>
          <w:rFonts w:ascii="Helvetica" w:eastAsia="Times New Roman" w:hAnsi="Helvetica" w:cs="Helvetica"/>
          <w:i/>
          <w:color w:val="0A1B32"/>
          <w:sz w:val="27"/>
          <w:szCs w:val="27"/>
          <w:lang w:val="en-US" w:eastAsia="pl-PL"/>
        </w:rPr>
        <w:t xml:space="preserve">simple, </w:t>
      </w:r>
    </w:p>
    <w:p w:rsidR="001C1C9E" w:rsidRDefault="001C1C9E" w:rsidP="00317B89">
      <w:pPr>
        <w:pStyle w:val="ListParagraph"/>
        <w:numPr>
          <w:ilvl w:val="0"/>
          <w:numId w:val="8"/>
        </w:numPr>
        <w:spacing w:after="100" w:afterAutospacing="1" w:line="240" w:lineRule="auto"/>
        <w:jc w:val="both"/>
        <w:rPr>
          <w:rFonts w:ascii="Helvetica" w:eastAsia="Times New Roman" w:hAnsi="Helvetica" w:cs="Helvetica"/>
          <w:i/>
          <w:color w:val="0A1B32"/>
          <w:sz w:val="27"/>
          <w:szCs w:val="27"/>
          <w:lang w:val="en-US" w:eastAsia="pl-PL"/>
        </w:rPr>
      </w:pPr>
      <w:r w:rsidRPr="001C1C9E">
        <w:rPr>
          <w:rFonts w:ascii="Helvetica" w:eastAsia="Times New Roman" w:hAnsi="Helvetica" w:cs="Helvetica"/>
          <w:i/>
          <w:color w:val="0A1B32"/>
          <w:sz w:val="27"/>
          <w:szCs w:val="27"/>
          <w:lang w:val="en-US" w:eastAsia="pl-PL"/>
        </w:rPr>
        <w:t>data is easy to obtain</w:t>
      </w:r>
    </w:p>
    <w:p w:rsidR="001C1C9E" w:rsidRPr="001C1C9E" w:rsidRDefault="001C1C9E" w:rsidP="00317B89">
      <w:pPr>
        <w:spacing w:after="100" w:afterAutospacing="1" w:line="240" w:lineRule="auto"/>
        <w:jc w:val="both"/>
        <w:rPr>
          <w:rFonts w:ascii="Helvetica" w:eastAsia="Times New Roman" w:hAnsi="Helvetica" w:cs="Helvetica"/>
          <w:i/>
          <w:color w:val="0A1B32"/>
          <w:sz w:val="27"/>
          <w:szCs w:val="27"/>
          <w:lang w:val="en-US" w:eastAsia="pl-PL"/>
        </w:rPr>
      </w:pPr>
      <w:r w:rsidRPr="001C1C9E">
        <w:rPr>
          <w:rFonts w:ascii="Helvetica" w:eastAsia="Times New Roman" w:hAnsi="Helvetica" w:cs="Helvetica"/>
          <w:i/>
          <w:color w:val="0A1B32"/>
          <w:sz w:val="27"/>
          <w:szCs w:val="27"/>
          <w:lang w:val="en-US" w:eastAsia="pl-PL"/>
        </w:rPr>
        <w:t xml:space="preserve">Disadvantages – </w:t>
      </w:r>
    </w:p>
    <w:p w:rsidR="001C1C9E" w:rsidRPr="001C1C9E" w:rsidRDefault="001C1C9E" w:rsidP="00317B89">
      <w:pPr>
        <w:pStyle w:val="ListParagraph"/>
        <w:numPr>
          <w:ilvl w:val="0"/>
          <w:numId w:val="7"/>
        </w:numPr>
        <w:spacing w:after="100" w:afterAutospacing="1" w:line="240" w:lineRule="auto"/>
        <w:jc w:val="both"/>
        <w:rPr>
          <w:rFonts w:ascii="Helvetica" w:eastAsia="Times New Roman" w:hAnsi="Helvetica" w:cs="Helvetica"/>
          <w:i/>
          <w:color w:val="0A1B32"/>
          <w:sz w:val="27"/>
          <w:szCs w:val="27"/>
          <w:lang w:val="en-US" w:eastAsia="pl-PL"/>
        </w:rPr>
      </w:pPr>
      <w:r w:rsidRPr="001C1C9E">
        <w:rPr>
          <w:rFonts w:ascii="Helvetica" w:eastAsia="Times New Roman" w:hAnsi="Helvetica" w:cs="Helvetica"/>
          <w:i/>
          <w:color w:val="0A1B32"/>
          <w:sz w:val="27"/>
          <w:szCs w:val="27"/>
          <w:lang w:val="en-US" w:eastAsia="pl-PL"/>
        </w:rPr>
        <w:t xml:space="preserve">assumption of normality, </w:t>
      </w:r>
    </w:p>
    <w:p w:rsidR="001C1C9E" w:rsidRPr="001C1C9E" w:rsidRDefault="001C1C9E" w:rsidP="00317B89">
      <w:pPr>
        <w:pStyle w:val="ListParagraph"/>
        <w:numPr>
          <w:ilvl w:val="0"/>
          <w:numId w:val="7"/>
        </w:numPr>
        <w:spacing w:after="100" w:afterAutospacing="1" w:line="240" w:lineRule="auto"/>
        <w:jc w:val="both"/>
        <w:rPr>
          <w:rFonts w:ascii="Helvetica" w:eastAsia="Times New Roman" w:hAnsi="Helvetica" w:cs="Helvetica"/>
          <w:i/>
          <w:color w:val="0A1B32"/>
          <w:sz w:val="27"/>
          <w:szCs w:val="27"/>
          <w:lang w:val="en-US" w:eastAsia="pl-PL"/>
        </w:rPr>
      </w:pPr>
      <w:r w:rsidRPr="001C1C9E">
        <w:rPr>
          <w:rFonts w:ascii="Helvetica" w:eastAsia="Times New Roman" w:hAnsi="Helvetica" w:cs="Helvetica"/>
          <w:i/>
          <w:color w:val="0A1B32"/>
          <w:sz w:val="27"/>
          <w:szCs w:val="27"/>
          <w:lang w:val="en-US" w:eastAsia="pl-PL"/>
        </w:rPr>
        <w:t xml:space="preserve">exposing the portfolio to massive risk if the standard deviation moves away from historical mean. </w:t>
      </w:r>
    </w:p>
    <w:p w:rsidR="001C1C9E" w:rsidRPr="001C1C9E" w:rsidRDefault="001C1C9E" w:rsidP="00317B89">
      <w:pPr>
        <w:pStyle w:val="ListParagraph"/>
        <w:numPr>
          <w:ilvl w:val="0"/>
          <w:numId w:val="7"/>
        </w:numPr>
        <w:spacing w:after="100" w:afterAutospacing="1" w:line="240" w:lineRule="auto"/>
        <w:jc w:val="both"/>
        <w:rPr>
          <w:rFonts w:ascii="Helvetica" w:eastAsia="Times New Roman" w:hAnsi="Helvetica" w:cs="Helvetica"/>
          <w:i/>
          <w:color w:val="0A1B32"/>
          <w:sz w:val="27"/>
          <w:szCs w:val="27"/>
          <w:lang w:val="en-US" w:eastAsia="pl-PL"/>
        </w:rPr>
      </w:pPr>
      <w:r w:rsidRPr="001C1C9E">
        <w:rPr>
          <w:rFonts w:ascii="Helvetica" w:eastAsia="Times New Roman" w:hAnsi="Helvetica" w:cs="Helvetica"/>
          <w:i/>
          <w:color w:val="0A1B32"/>
          <w:sz w:val="27"/>
          <w:szCs w:val="27"/>
          <w:lang w:val="en-US" w:eastAsia="pl-PL"/>
        </w:rPr>
        <w:t xml:space="preserve">Also need to rely on the stability of the standard deviation through time and the variance/co-variance matrix. </w:t>
      </w:r>
    </w:p>
    <w:p w:rsidR="001C1C9E" w:rsidRPr="001C1C9E" w:rsidRDefault="001C1C9E" w:rsidP="00317B89">
      <w:pPr>
        <w:pStyle w:val="ListParagraph"/>
        <w:numPr>
          <w:ilvl w:val="0"/>
          <w:numId w:val="7"/>
        </w:numPr>
        <w:spacing w:after="100" w:afterAutospacing="1" w:line="240" w:lineRule="auto"/>
        <w:jc w:val="both"/>
        <w:rPr>
          <w:rFonts w:ascii="Helvetica" w:eastAsia="Times New Roman" w:hAnsi="Helvetica" w:cs="Helvetica"/>
          <w:i/>
          <w:color w:val="0A1B32"/>
          <w:sz w:val="27"/>
          <w:szCs w:val="27"/>
          <w:lang w:val="en-US" w:eastAsia="pl-PL"/>
        </w:rPr>
      </w:pPr>
      <w:r w:rsidRPr="001C1C9E">
        <w:rPr>
          <w:rFonts w:ascii="Helvetica" w:eastAsia="Times New Roman" w:hAnsi="Helvetica" w:cs="Helvetica"/>
          <w:i/>
          <w:color w:val="0A1B32"/>
          <w:sz w:val="27"/>
          <w:szCs w:val="27"/>
          <w:lang w:val="en-US" w:eastAsia="pl-PL"/>
        </w:rPr>
        <w:t>Without adjusting VAR for extreme events you expose your portfolio to additional risk.</w:t>
      </w:r>
    </w:p>
    <w:p w:rsidR="00754929" w:rsidRDefault="00754929" w:rsidP="00922D64">
      <w:pPr>
        <w:spacing w:after="100" w:afterAutospacing="1" w:line="240" w:lineRule="auto"/>
        <w:jc w:val="both"/>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 xml:space="preserve">5. What is the historical method of calculating </w:t>
      </w:r>
      <w:proofErr w:type="spellStart"/>
      <w:r w:rsidRPr="00754929">
        <w:rPr>
          <w:rFonts w:ascii="Helvetica" w:eastAsia="Times New Roman" w:hAnsi="Helvetica" w:cs="Helvetica"/>
          <w:b/>
          <w:color w:val="0A1B32"/>
          <w:sz w:val="27"/>
          <w:szCs w:val="27"/>
          <w:lang w:val="en-US" w:eastAsia="pl-PL"/>
        </w:rPr>
        <w:t>VaR</w:t>
      </w:r>
      <w:proofErr w:type="spellEnd"/>
      <w:r w:rsidRPr="00754929">
        <w:rPr>
          <w:rFonts w:ascii="Helvetica" w:eastAsia="Times New Roman" w:hAnsi="Helvetica" w:cs="Helvetica"/>
          <w:b/>
          <w:color w:val="0A1B32"/>
          <w:sz w:val="27"/>
          <w:szCs w:val="27"/>
          <w:lang w:val="en-US" w:eastAsia="pl-PL"/>
        </w:rPr>
        <w:t>? What are its advantages?</w:t>
      </w:r>
    </w:p>
    <w:p w:rsidR="00922D64" w:rsidRPr="00922D64" w:rsidRDefault="00922D64" w:rsidP="00922D64">
      <w:pPr>
        <w:spacing w:after="100" w:afterAutospacing="1" w:line="240" w:lineRule="auto"/>
        <w:jc w:val="both"/>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Assuming the history will repeat itself, sort the historical returns in ascending order and pick the one equal to a pre-assumed percentile.</w:t>
      </w:r>
    </w:p>
    <w:p w:rsidR="00922D64" w:rsidRPr="00922D64" w:rsidRDefault="00922D64" w:rsidP="00922D64">
      <w:pPr>
        <w:spacing w:after="100" w:afterAutospacing="1" w:line="240" w:lineRule="auto"/>
        <w:jc w:val="both"/>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Val</w:t>
      </w:r>
      <w:r>
        <w:rPr>
          <w:rFonts w:ascii="Helvetica" w:eastAsia="Times New Roman" w:hAnsi="Helvetica" w:cs="Helvetica"/>
          <w:i/>
          <w:color w:val="0A1B32"/>
          <w:sz w:val="27"/>
          <w:szCs w:val="27"/>
          <w:lang w:val="en-US" w:eastAsia="pl-PL"/>
        </w:rPr>
        <w:t xml:space="preserve">ue at Risk = </w:t>
      </w:r>
      <w:proofErr w:type="spellStart"/>
      <w:r>
        <w:rPr>
          <w:rFonts w:ascii="Helvetica" w:eastAsia="Times New Roman" w:hAnsi="Helvetica" w:cs="Helvetica"/>
          <w:i/>
          <w:color w:val="0A1B32"/>
          <w:sz w:val="27"/>
          <w:szCs w:val="27"/>
          <w:lang w:val="en-US" w:eastAsia="pl-PL"/>
        </w:rPr>
        <w:t>vm</w:t>
      </w:r>
      <w:proofErr w:type="spellEnd"/>
      <w:r>
        <w:rPr>
          <w:rFonts w:ascii="Helvetica" w:eastAsia="Times New Roman" w:hAnsi="Helvetica" w:cs="Helvetica"/>
          <w:i/>
          <w:color w:val="0A1B32"/>
          <w:sz w:val="27"/>
          <w:szCs w:val="27"/>
          <w:lang w:val="en-US" w:eastAsia="pl-PL"/>
        </w:rPr>
        <w:t xml:space="preserve"> (vi / v(</w:t>
      </w:r>
      <w:proofErr w:type="spellStart"/>
      <w:r>
        <w:rPr>
          <w:rFonts w:ascii="Helvetica" w:eastAsia="Times New Roman" w:hAnsi="Helvetica" w:cs="Helvetica"/>
          <w:i/>
          <w:color w:val="0A1B32"/>
          <w:sz w:val="27"/>
          <w:szCs w:val="27"/>
          <w:lang w:val="en-US" w:eastAsia="pl-PL"/>
        </w:rPr>
        <w:t>i</w:t>
      </w:r>
      <w:proofErr w:type="spellEnd"/>
      <w:r>
        <w:rPr>
          <w:rFonts w:ascii="Helvetica" w:eastAsia="Times New Roman" w:hAnsi="Helvetica" w:cs="Helvetica"/>
          <w:i/>
          <w:color w:val="0A1B32"/>
          <w:sz w:val="27"/>
          <w:szCs w:val="27"/>
          <w:lang w:val="en-US" w:eastAsia="pl-PL"/>
        </w:rPr>
        <w:t xml:space="preserve"> - 1))</w:t>
      </w:r>
    </w:p>
    <w:p w:rsidR="00922D64" w:rsidRPr="00922D64" w:rsidRDefault="00922D64" w:rsidP="00922D64">
      <w:pPr>
        <w:spacing w:after="100" w:afterAutospacing="1" w:line="240" w:lineRule="auto"/>
        <w:jc w:val="both"/>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lastRenderedPageBreak/>
        <w:t>M = the number of days from</w:t>
      </w:r>
      <w:r>
        <w:rPr>
          <w:rFonts w:ascii="Helvetica" w:eastAsia="Times New Roman" w:hAnsi="Helvetica" w:cs="Helvetica"/>
          <w:i/>
          <w:color w:val="0A1B32"/>
          <w:sz w:val="27"/>
          <w:szCs w:val="27"/>
          <w:lang w:val="en-US" w:eastAsia="pl-PL"/>
        </w:rPr>
        <w:t xml:space="preserve"> which historical data is taken</w:t>
      </w:r>
    </w:p>
    <w:p w:rsidR="00922D64" w:rsidRPr="00922D64" w:rsidRDefault="00922D64" w:rsidP="00922D64">
      <w:pPr>
        <w:spacing w:after="100" w:afterAutospacing="1" w:line="240" w:lineRule="auto"/>
        <w:jc w:val="both"/>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vi = the num</w:t>
      </w:r>
      <w:r>
        <w:rPr>
          <w:rFonts w:ascii="Helvetica" w:eastAsia="Times New Roman" w:hAnsi="Helvetica" w:cs="Helvetica"/>
          <w:i/>
          <w:color w:val="0A1B32"/>
          <w:sz w:val="27"/>
          <w:szCs w:val="27"/>
          <w:lang w:val="en-US" w:eastAsia="pl-PL"/>
        </w:rPr>
        <w:t xml:space="preserve">ber of variables on the day </w:t>
      </w:r>
      <w:proofErr w:type="spellStart"/>
      <w:r>
        <w:rPr>
          <w:rFonts w:ascii="Helvetica" w:eastAsia="Times New Roman" w:hAnsi="Helvetica" w:cs="Helvetica"/>
          <w:i/>
          <w:color w:val="0A1B32"/>
          <w:sz w:val="27"/>
          <w:szCs w:val="27"/>
          <w:lang w:val="en-US" w:eastAsia="pl-PL"/>
        </w:rPr>
        <w:t>i</w:t>
      </w:r>
      <w:proofErr w:type="spellEnd"/>
      <w:r>
        <w:rPr>
          <w:rFonts w:ascii="Helvetica" w:eastAsia="Times New Roman" w:hAnsi="Helvetica" w:cs="Helvetica"/>
          <w:i/>
          <w:color w:val="0A1B32"/>
          <w:sz w:val="27"/>
          <w:szCs w:val="27"/>
          <w:lang w:val="en-US" w:eastAsia="pl-PL"/>
        </w:rPr>
        <w:t xml:space="preserve">. </w:t>
      </w:r>
    </w:p>
    <w:p w:rsidR="00922D64" w:rsidRDefault="00922D64" w:rsidP="00922D64">
      <w:pPr>
        <w:spacing w:after="100" w:afterAutospacing="1" w:line="240" w:lineRule="auto"/>
        <w:jc w:val="both"/>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In calculating each daily return, we produce a rich data set of more than 1,400 points. Let's put them in a histogram that compares the</w:t>
      </w:r>
      <w:r>
        <w:rPr>
          <w:rFonts w:ascii="Helvetica" w:eastAsia="Times New Roman" w:hAnsi="Helvetica" w:cs="Helvetica"/>
          <w:i/>
          <w:color w:val="0A1B32"/>
          <w:sz w:val="27"/>
          <w:szCs w:val="27"/>
          <w:lang w:val="en-US" w:eastAsia="pl-PL"/>
        </w:rPr>
        <w:t xml:space="preserve"> frequency of return "buckets."</w:t>
      </w:r>
    </w:p>
    <w:p w:rsidR="00552F35" w:rsidRPr="00922D64" w:rsidRDefault="00552F35" w:rsidP="00922D64">
      <w:pPr>
        <w:spacing w:after="100" w:afterAutospacing="1" w:line="240" w:lineRule="auto"/>
        <w:jc w:val="both"/>
        <w:rPr>
          <w:rFonts w:ascii="Helvetica" w:eastAsia="Times New Roman" w:hAnsi="Helvetica" w:cs="Helvetica"/>
          <w:i/>
          <w:color w:val="0A1B32"/>
          <w:sz w:val="27"/>
          <w:szCs w:val="27"/>
          <w:lang w:val="en-US" w:eastAsia="pl-PL"/>
        </w:rPr>
      </w:pPr>
      <w:r>
        <w:rPr>
          <w:rFonts w:ascii="Helvetica" w:eastAsia="Times New Roman" w:hAnsi="Helvetica" w:cs="Helvetica"/>
          <w:i/>
          <w:noProof/>
          <w:color w:val="0A1B32"/>
          <w:sz w:val="27"/>
          <w:szCs w:val="27"/>
          <w:lang w:eastAsia="pl-PL"/>
        </w:rPr>
        <w:drawing>
          <wp:inline distT="0" distB="0" distL="0" distR="0">
            <wp:extent cx="5753100" cy="3629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629025"/>
                    </a:xfrm>
                    <a:prstGeom prst="rect">
                      <a:avLst/>
                    </a:prstGeom>
                    <a:noFill/>
                    <a:ln>
                      <a:noFill/>
                    </a:ln>
                  </pic:spPr>
                </pic:pic>
              </a:graphicData>
            </a:graphic>
          </wp:inline>
        </w:drawing>
      </w:r>
    </w:p>
    <w:p w:rsidR="00922D64" w:rsidRPr="00754929" w:rsidRDefault="00922D64" w:rsidP="00922D64">
      <w:pPr>
        <w:spacing w:after="100" w:afterAutospacing="1" w:line="240" w:lineRule="auto"/>
        <w:jc w:val="both"/>
        <w:rPr>
          <w:rFonts w:ascii="Helvetica" w:eastAsia="Times New Roman" w:hAnsi="Helvetica" w:cs="Helvetica"/>
          <w:i/>
          <w:color w:val="0A1B32"/>
          <w:sz w:val="27"/>
          <w:szCs w:val="27"/>
          <w:lang w:val="en-US" w:eastAsia="pl-PL"/>
        </w:rPr>
      </w:pPr>
      <w:r w:rsidRPr="00922D64">
        <w:rPr>
          <w:rFonts w:ascii="Helvetica" w:eastAsia="Times New Roman" w:hAnsi="Helvetica" w:cs="Helvetica"/>
          <w:i/>
          <w:color w:val="0A1B32"/>
          <w:sz w:val="27"/>
          <w:szCs w:val="27"/>
          <w:lang w:val="en-US" w:eastAsia="pl-PL"/>
        </w:rPr>
        <w:t>At the highest bar, there were more than 250 days when the daily return was between 0% and 1%. At the far right, a tiny bar at 13% represents the one single day within five-plus years when the dail</w:t>
      </w:r>
      <w:r>
        <w:rPr>
          <w:rFonts w:ascii="Helvetica" w:eastAsia="Times New Roman" w:hAnsi="Helvetica" w:cs="Helvetica"/>
          <w:i/>
          <w:color w:val="0A1B32"/>
          <w:sz w:val="27"/>
          <w:szCs w:val="27"/>
          <w:lang w:val="en-US" w:eastAsia="pl-PL"/>
        </w:rPr>
        <w:t>y return for the QQQ was 12.4%.</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 xml:space="preserve">6. Why would you calculate </w:t>
      </w:r>
      <w:proofErr w:type="spellStart"/>
      <w:r w:rsidRPr="00754929">
        <w:rPr>
          <w:rFonts w:ascii="Helvetica" w:eastAsia="Times New Roman" w:hAnsi="Helvetica" w:cs="Helvetica"/>
          <w:b/>
          <w:color w:val="0A1B32"/>
          <w:sz w:val="27"/>
          <w:szCs w:val="27"/>
          <w:lang w:val="en-US" w:eastAsia="pl-PL"/>
        </w:rPr>
        <w:t>VaR</w:t>
      </w:r>
      <w:proofErr w:type="spellEnd"/>
      <w:r w:rsidRPr="00754929">
        <w:rPr>
          <w:rFonts w:ascii="Helvetica" w:eastAsia="Times New Roman" w:hAnsi="Helvetica" w:cs="Helvetica"/>
          <w:b/>
          <w:color w:val="0A1B32"/>
          <w:sz w:val="27"/>
          <w:szCs w:val="27"/>
          <w:lang w:val="en-US" w:eastAsia="pl-PL"/>
        </w:rPr>
        <w:t xml:space="preserve"> using Monte Carlo simulations?</w:t>
      </w:r>
    </w:p>
    <w:p w:rsidR="00552F35" w:rsidRPr="00552F35" w:rsidRDefault="00552F35" w:rsidP="00552F35">
      <w:pPr>
        <w:pStyle w:val="ListParagraph"/>
        <w:numPr>
          <w:ilvl w:val="0"/>
          <w:numId w:val="6"/>
        </w:numPr>
        <w:spacing w:after="100" w:afterAutospacing="1" w:line="240" w:lineRule="auto"/>
        <w:jc w:val="both"/>
        <w:rPr>
          <w:rFonts w:ascii="Helvetica" w:eastAsia="Times New Roman" w:hAnsi="Helvetica" w:cs="Helvetica"/>
          <w:i/>
          <w:color w:val="0A1B32"/>
          <w:sz w:val="27"/>
          <w:szCs w:val="27"/>
          <w:lang w:val="en-US" w:eastAsia="pl-PL"/>
        </w:rPr>
      </w:pPr>
      <w:r w:rsidRPr="00552F35">
        <w:rPr>
          <w:rFonts w:ascii="Helvetica" w:eastAsia="Times New Roman" w:hAnsi="Helvetica" w:cs="Helvetica"/>
          <w:i/>
          <w:color w:val="0A1B32"/>
          <w:sz w:val="27"/>
          <w:szCs w:val="27"/>
          <w:lang w:val="en-US" w:eastAsia="pl-PL"/>
        </w:rPr>
        <w:t xml:space="preserve">In case of complex portfolio, including derivatives, there are a lot of non-linear payoff. Hence, it might be challenging to analytically calculate </w:t>
      </w:r>
      <w:proofErr w:type="spellStart"/>
      <w:r w:rsidRPr="00552F35">
        <w:rPr>
          <w:rFonts w:ascii="Helvetica" w:eastAsia="Times New Roman" w:hAnsi="Helvetica" w:cs="Helvetica"/>
          <w:i/>
          <w:color w:val="0A1B32"/>
          <w:sz w:val="27"/>
          <w:szCs w:val="27"/>
          <w:lang w:val="en-US" w:eastAsia="pl-PL"/>
        </w:rPr>
        <w:t>VaR.</w:t>
      </w:r>
      <w:proofErr w:type="spellEnd"/>
      <w:r w:rsidRPr="00552F35">
        <w:rPr>
          <w:rFonts w:ascii="Helvetica" w:eastAsia="Times New Roman" w:hAnsi="Helvetica" w:cs="Helvetica"/>
          <w:i/>
          <w:color w:val="0A1B32"/>
          <w:sz w:val="27"/>
          <w:szCs w:val="27"/>
          <w:lang w:val="en-US" w:eastAsia="pl-PL"/>
        </w:rPr>
        <w:t xml:space="preserve"> </w:t>
      </w:r>
    </w:p>
    <w:p w:rsidR="00552F35" w:rsidRPr="00552F35" w:rsidRDefault="00552F35" w:rsidP="00552F35">
      <w:pPr>
        <w:pStyle w:val="ListParagraph"/>
        <w:numPr>
          <w:ilvl w:val="0"/>
          <w:numId w:val="6"/>
        </w:numPr>
        <w:spacing w:after="100" w:afterAutospacing="1" w:line="240" w:lineRule="auto"/>
        <w:jc w:val="both"/>
        <w:rPr>
          <w:rFonts w:ascii="Helvetica" w:eastAsia="Times New Roman" w:hAnsi="Helvetica" w:cs="Helvetica"/>
          <w:i/>
          <w:color w:val="0A1B32"/>
          <w:sz w:val="27"/>
          <w:szCs w:val="27"/>
          <w:lang w:val="en-US" w:eastAsia="pl-PL"/>
        </w:rPr>
      </w:pPr>
      <w:r w:rsidRPr="00552F35">
        <w:rPr>
          <w:rFonts w:ascii="Helvetica" w:eastAsia="Times New Roman" w:hAnsi="Helvetica" w:cs="Helvetica"/>
          <w:i/>
          <w:color w:val="0A1B32"/>
          <w:sz w:val="27"/>
          <w:szCs w:val="27"/>
          <w:lang w:val="en-US" w:eastAsia="pl-PL"/>
        </w:rPr>
        <w:t xml:space="preserve">On top of it, history does not always repeat itself, </w:t>
      </w:r>
    </w:p>
    <w:p w:rsidR="00552F35" w:rsidRPr="00552F35" w:rsidRDefault="00552F35" w:rsidP="00552F35">
      <w:pPr>
        <w:pStyle w:val="ListParagraph"/>
        <w:numPr>
          <w:ilvl w:val="0"/>
          <w:numId w:val="6"/>
        </w:numPr>
        <w:spacing w:after="100" w:afterAutospacing="1" w:line="240" w:lineRule="auto"/>
        <w:jc w:val="both"/>
        <w:rPr>
          <w:rFonts w:ascii="Helvetica" w:eastAsia="Times New Roman" w:hAnsi="Helvetica" w:cs="Helvetica"/>
          <w:i/>
          <w:color w:val="0A1B32"/>
          <w:sz w:val="27"/>
          <w:szCs w:val="27"/>
          <w:lang w:val="en-US" w:eastAsia="pl-PL"/>
        </w:rPr>
      </w:pPr>
      <w:r w:rsidRPr="00552F35">
        <w:rPr>
          <w:rFonts w:ascii="Helvetica" w:eastAsia="Times New Roman" w:hAnsi="Helvetica" w:cs="Helvetica"/>
          <w:i/>
          <w:color w:val="0A1B32"/>
          <w:sz w:val="27"/>
          <w:szCs w:val="27"/>
          <w:lang w:val="en-US" w:eastAsia="pl-PL"/>
        </w:rPr>
        <w:t>the sample may not cover the truly severe shocks etc.</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 xml:space="preserve">7. What are the challenges in calculating </w:t>
      </w:r>
      <w:proofErr w:type="spellStart"/>
      <w:r w:rsidRPr="00754929">
        <w:rPr>
          <w:rFonts w:ascii="Helvetica" w:eastAsia="Times New Roman" w:hAnsi="Helvetica" w:cs="Helvetica"/>
          <w:b/>
          <w:color w:val="0A1B32"/>
          <w:sz w:val="27"/>
          <w:szCs w:val="27"/>
          <w:lang w:val="en-US" w:eastAsia="pl-PL"/>
        </w:rPr>
        <w:t>VaR</w:t>
      </w:r>
      <w:proofErr w:type="spellEnd"/>
      <w:r w:rsidRPr="00754929">
        <w:rPr>
          <w:rFonts w:ascii="Helvetica" w:eastAsia="Times New Roman" w:hAnsi="Helvetica" w:cs="Helvetica"/>
          <w:b/>
          <w:color w:val="0A1B32"/>
          <w:sz w:val="27"/>
          <w:szCs w:val="27"/>
          <w:lang w:val="en-US" w:eastAsia="pl-PL"/>
        </w:rPr>
        <w:t xml:space="preserve"> for a mixed portfolio?</w:t>
      </w:r>
    </w:p>
    <w:p w:rsidR="00CD0922" w:rsidRPr="00CD0922" w:rsidRDefault="00CD0922" w:rsidP="00CD0922">
      <w:pPr>
        <w:spacing w:after="100" w:afterAutospacing="1" w:line="240" w:lineRule="auto"/>
        <w:jc w:val="both"/>
        <w:rPr>
          <w:rFonts w:ascii="Helvetica" w:eastAsia="Times New Roman" w:hAnsi="Helvetica" w:cs="Helvetica"/>
          <w:i/>
          <w:color w:val="0A1B32"/>
          <w:sz w:val="27"/>
          <w:szCs w:val="27"/>
          <w:lang w:val="en-US" w:eastAsia="pl-PL"/>
        </w:rPr>
      </w:pPr>
      <w:r w:rsidRPr="00CD0922">
        <w:rPr>
          <w:rFonts w:ascii="Helvetica" w:eastAsia="Times New Roman" w:hAnsi="Helvetica" w:cs="Helvetica"/>
          <w:i/>
          <w:color w:val="0A1B32"/>
          <w:sz w:val="27"/>
          <w:szCs w:val="27"/>
          <w:lang w:val="en-US" w:eastAsia="pl-PL"/>
        </w:rPr>
        <w:t>Need to measure not only return and volatility of individual assets, but also the correlations between them. When the number and diversity of positions grow, the difficulty and cost of measuring risk grows exponentially.</w:t>
      </w:r>
    </w:p>
    <w:p w:rsidR="00CD0922" w:rsidRPr="00754929" w:rsidRDefault="00CD0922" w:rsidP="00CD0922">
      <w:pPr>
        <w:spacing w:after="100" w:afterAutospacing="1" w:line="240" w:lineRule="auto"/>
        <w:jc w:val="both"/>
        <w:rPr>
          <w:rFonts w:ascii="Helvetica" w:eastAsia="Times New Roman" w:hAnsi="Helvetica" w:cs="Helvetica"/>
          <w:i/>
          <w:color w:val="0A1B32"/>
          <w:sz w:val="27"/>
          <w:szCs w:val="27"/>
          <w:lang w:val="en-US" w:eastAsia="pl-PL"/>
        </w:rPr>
      </w:pPr>
      <w:r w:rsidRPr="00CD0922">
        <w:rPr>
          <w:rFonts w:ascii="Helvetica" w:eastAsia="Times New Roman" w:hAnsi="Helvetica" w:cs="Helvetica"/>
          <w:i/>
          <w:color w:val="0A1B32"/>
          <w:sz w:val="27"/>
          <w:szCs w:val="27"/>
          <w:lang w:val="en-US" w:eastAsia="pl-PL"/>
        </w:rPr>
        <w:lastRenderedPageBreak/>
        <w:t>The VAR of A&amp;B, is NOT the sum of VAR A and VAR B. Need to factor in correlation, sometimes a higher individual VAR can result in a lower portfolio VAR.</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8. What's GVAR? How can you calculate it?</w:t>
      </w:r>
    </w:p>
    <w:p w:rsidR="00240498" w:rsidRDefault="00240498" w:rsidP="00754929">
      <w:pPr>
        <w:spacing w:after="100" w:afterAutospacing="1" w:line="240" w:lineRule="auto"/>
        <w:rPr>
          <w:rFonts w:ascii="Helvetica" w:eastAsia="Times New Roman" w:hAnsi="Helvetica" w:cs="Helvetica"/>
          <w:b/>
          <w:color w:val="0A1B32"/>
          <w:sz w:val="27"/>
          <w:szCs w:val="27"/>
          <w:lang w:val="en-US" w:eastAsia="pl-PL"/>
        </w:rPr>
      </w:pPr>
    </w:p>
    <w:p w:rsidR="00240498" w:rsidRPr="00240498" w:rsidRDefault="00240498" w:rsidP="00240498">
      <w:pPr>
        <w:spacing w:after="100" w:afterAutospacing="1" w:line="240" w:lineRule="auto"/>
        <w:jc w:val="both"/>
        <w:rPr>
          <w:rFonts w:ascii="Helvetica" w:eastAsia="Times New Roman" w:hAnsi="Helvetica" w:cs="Helvetica"/>
          <w:i/>
          <w:color w:val="0A1B32"/>
          <w:sz w:val="27"/>
          <w:szCs w:val="27"/>
          <w:lang w:val="en-US" w:eastAsia="pl-PL"/>
        </w:rPr>
      </w:pPr>
      <w:r w:rsidRPr="00240498">
        <w:rPr>
          <w:rFonts w:ascii="Helvetica" w:eastAsia="Times New Roman" w:hAnsi="Helvetica" w:cs="Helvetica"/>
          <w:i/>
          <w:color w:val="0A1B32"/>
          <w:sz w:val="27"/>
          <w:szCs w:val="27"/>
          <w:lang w:val="en-US" w:eastAsia="pl-PL"/>
        </w:rPr>
        <w:t xml:space="preserve">It stands for generalized value at risk (generalized </w:t>
      </w:r>
      <w:proofErr w:type="spellStart"/>
      <w:r w:rsidRPr="00240498">
        <w:rPr>
          <w:rFonts w:ascii="Helvetica" w:eastAsia="Times New Roman" w:hAnsi="Helvetica" w:cs="Helvetica"/>
          <w:i/>
          <w:color w:val="0A1B32"/>
          <w:sz w:val="27"/>
          <w:szCs w:val="27"/>
          <w:lang w:val="en-US" w:eastAsia="pl-PL"/>
        </w:rPr>
        <w:t>VaR</w:t>
      </w:r>
      <w:proofErr w:type="spellEnd"/>
      <w:r w:rsidRPr="00240498">
        <w:rPr>
          <w:rFonts w:ascii="Helvetica" w:eastAsia="Times New Roman" w:hAnsi="Helvetica" w:cs="Helvetica"/>
          <w:i/>
          <w:color w:val="0A1B32"/>
          <w:sz w:val="27"/>
          <w:szCs w:val="27"/>
          <w:lang w:val="en-US" w:eastAsia="pl-PL"/>
        </w:rPr>
        <w:t>); a type or method of value at risk (</w:t>
      </w:r>
      <w:proofErr w:type="spellStart"/>
      <w:r w:rsidRPr="00240498">
        <w:rPr>
          <w:rFonts w:ascii="Helvetica" w:eastAsia="Times New Roman" w:hAnsi="Helvetica" w:cs="Helvetica"/>
          <w:i/>
          <w:color w:val="0A1B32"/>
          <w:sz w:val="27"/>
          <w:szCs w:val="27"/>
          <w:lang w:val="en-US" w:eastAsia="pl-PL"/>
        </w:rPr>
        <w:t>VaR</w:t>
      </w:r>
      <w:proofErr w:type="spellEnd"/>
      <w:r w:rsidRPr="00240498">
        <w:rPr>
          <w:rFonts w:ascii="Helvetica" w:eastAsia="Times New Roman" w:hAnsi="Helvetica" w:cs="Helvetica"/>
          <w:i/>
          <w:color w:val="0A1B32"/>
          <w:sz w:val="27"/>
          <w:szCs w:val="27"/>
          <w:lang w:val="en-US" w:eastAsia="pl-PL"/>
        </w:rPr>
        <w:t xml:space="preserve">) that subjects the standard value at risk (for optimization of a portfolio/ a fund, etc.) to two constraints: a conditional value at risk or censored mean lower bound. The censored mean, for normal distributions (but not fat-tailed distributions), is equivalent to the </w:t>
      </w:r>
      <w:r w:rsidRPr="00240498">
        <w:rPr>
          <w:rFonts w:ascii="Helvetica" w:eastAsia="Times New Roman" w:hAnsi="Helvetica" w:cs="Helvetica"/>
          <w:b/>
          <w:i/>
          <w:color w:val="0A1B32"/>
          <w:sz w:val="27"/>
          <w:szCs w:val="27"/>
          <w:lang w:val="en-US" w:eastAsia="pl-PL"/>
        </w:rPr>
        <w:t>statistical hazard function</w:t>
      </w:r>
      <w:r w:rsidRPr="00240498">
        <w:rPr>
          <w:rFonts w:ascii="Helvetica" w:eastAsia="Times New Roman" w:hAnsi="Helvetica" w:cs="Helvetica"/>
          <w:i/>
          <w:color w:val="0A1B32"/>
          <w:sz w:val="27"/>
          <w:szCs w:val="27"/>
          <w:lang w:val="en-US" w:eastAsia="pl-PL"/>
        </w:rPr>
        <w:t>. The censored mean for normal distributions would yield wider bounds for a given set of admissible portfolios, with a more complicated portfolio choice rule.</w:t>
      </w:r>
    </w:p>
    <w:p w:rsidR="00240498" w:rsidRPr="00240498" w:rsidRDefault="00240498" w:rsidP="00240498">
      <w:pPr>
        <w:spacing w:after="100" w:afterAutospacing="1" w:line="240" w:lineRule="auto"/>
        <w:jc w:val="both"/>
        <w:rPr>
          <w:rFonts w:ascii="Helvetica" w:eastAsia="Times New Roman" w:hAnsi="Helvetica" w:cs="Helvetica"/>
          <w:i/>
          <w:color w:val="0A1B32"/>
          <w:sz w:val="27"/>
          <w:szCs w:val="27"/>
          <w:lang w:val="en-US" w:eastAsia="pl-PL"/>
        </w:rPr>
      </w:pPr>
      <w:r w:rsidRPr="00240498">
        <w:rPr>
          <w:rFonts w:ascii="Helvetica" w:eastAsia="Times New Roman" w:hAnsi="Helvetica" w:cs="Helvetica"/>
          <w:i/>
          <w:color w:val="0A1B32"/>
          <w:sz w:val="27"/>
          <w:szCs w:val="27"/>
          <w:lang w:val="en-US" w:eastAsia="pl-PL"/>
        </w:rPr>
        <w:t xml:space="preserve">In other contexts, </w:t>
      </w:r>
      <w:proofErr w:type="spellStart"/>
      <w:r w:rsidRPr="00240498">
        <w:rPr>
          <w:rFonts w:ascii="Helvetica" w:eastAsia="Times New Roman" w:hAnsi="Helvetica" w:cs="Helvetica"/>
          <w:i/>
          <w:color w:val="0A1B32"/>
          <w:sz w:val="27"/>
          <w:szCs w:val="27"/>
          <w:lang w:val="en-US" w:eastAsia="pl-PL"/>
        </w:rPr>
        <w:t>GVaR</w:t>
      </w:r>
      <w:proofErr w:type="spellEnd"/>
      <w:r w:rsidRPr="00240498">
        <w:rPr>
          <w:rFonts w:ascii="Helvetica" w:eastAsia="Times New Roman" w:hAnsi="Helvetica" w:cs="Helvetica"/>
          <w:i/>
          <w:color w:val="0A1B32"/>
          <w:sz w:val="27"/>
          <w:szCs w:val="27"/>
          <w:lang w:val="en-US" w:eastAsia="pl-PL"/>
        </w:rPr>
        <w:t xml:space="preserve"> may also denote other types of </w:t>
      </w:r>
      <w:proofErr w:type="spellStart"/>
      <w:r w:rsidRPr="00240498">
        <w:rPr>
          <w:rFonts w:ascii="Helvetica" w:eastAsia="Times New Roman" w:hAnsi="Helvetica" w:cs="Helvetica"/>
          <w:i/>
          <w:color w:val="0A1B32"/>
          <w:sz w:val="27"/>
          <w:szCs w:val="27"/>
          <w:lang w:val="en-US" w:eastAsia="pl-PL"/>
        </w:rPr>
        <w:t>VaR</w:t>
      </w:r>
      <w:proofErr w:type="spellEnd"/>
      <w:r w:rsidRPr="00240498">
        <w:rPr>
          <w:rFonts w:ascii="Helvetica" w:eastAsia="Times New Roman" w:hAnsi="Helvetica" w:cs="Helvetica"/>
          <w:i/>
          <w:color w:val="0A1B32"/>
          <w:sz w:val="27"/>
          <w:szCs w:val="27"/>
          <w:lang w:val="en-US" w:eastAsia="pl-PL"/>
        </w:rPr>
        <w:t xml:space="preserve"> including </w:t>
      </w:r>
      <w:r w:rsidRPr="00240498">
        <w:rPr>
          <w:rFonts w:ascii="Helvetica" w:eastAsia="Times New Roman" w:hAnsi="Helvetica" w:cs="Helvetica"/>
          <w:b/>
          <w:i/>
          <w:color w:val="0A1B32"/>
          <w:sz w:val="27"/>
          <w:szCs w:val="27"/>
          <w:lang w:val="en-US" w:eastAsia="pl-PL"/>
        </w:rPr>
        <w:t xml:space="preserve">global value at risk (global </w:t>
      </w:r>
      <w:proofErr w:type="spellStart"/>
      <w:r w:rsidRPr="00240498">
        <w:rPr>
          <w:rFonts w:ascii="Helvetica" w:eastAsia="Times New Roman" w:hAnsi="Helvetica" w:cs="Helvetica"/>
          <w:b/>
          <w:i/>
          <w:color w:val="0A1B32"/>
          <w:sz w:val="27"/>
          <w:szCs w:val="27"/>
          <w:lang w:val="en-US" w:eastAsia="pl-PL"/>
        </w:rPr>
        <w:t>VaR</w:t>
      </w:r>
      <w:proofErr w:type="spellEnd"/>
      <w:r w:rsidRPr="00240498">
        <w:rPr>
          <w:rFonts w:ascii="Helvetica" w:eastAsia="Times New Roman" w:hAnsi="Helvetica" w:cs="Helvetica"/>
          <w:i/>
          <w:color w:val="0A1B32"/>
          <w:sz w:val="27"/>
          <w:szCs w:val="27"/>
          <w:lang w:val="en-US" w:eastAsia="pl-PL"/>
        </w:rPr>
        <w:t xml:space="preserve">), </w:t>
      </w:r>
      <w:r w:rsidRPr="00240498">
        <w:rPr>
          <w:rFonts w:ascii="Helvetica" w:eastAsia="Times New Roman" w:hAnsi="Helvetica" w:cs="Helvetica"/>
          <w:b/>
          <w:i/>
          <w:color w:val="0A1B32"/>
          <w:sz w:val="27"/>
          <w:szCs w:val="27"/>
          <w:lang w:val="en-US" w:eastAsia="pl-PL"/>
        </w:rPr>
        <w:t>Gaussian value at risk</w:t>
      </w:r>
      <w:r w:rsidRPr="00240498">
        <w:rPr>
          <w:rFonts w:ascii="Helvetica" w:eastAsia="Times New Roman" w:hAnsi="Helvetica" w:cs="Helvetica"/>
          <w:i/>
          <w:color w:val="0A1B32"/>
          <w:sz w:val="27"/>
          <w:szCs w:val="27"/>
          <w:lang w:val="en-US" w:eastAsia="pl-PL"/>
        </w:rPr>
        <w:t xml:space="preserve"> (Gaussian </w:t>
      </w:r>
      <w:proofErr w:type="spellStart"/>
      <w:r w:rsidRPr="00240498">
        <w:rPr>
          <w:rFonts w:ascii="Helvetica" w:eastAsia="Times New Roman" w:hAnsi="Helvetica" w:cs="Helvetica"/>
          <w:i/>
          <w:color w:val="0A1B32"/>
          <w:sz w:val="27"/>
          <w:szCs w:val="27"/>
          <w:lang w:val="en-US" w:eastAsia="pl-PL"/>
        </w:rPr>
        <w:t>VaR</w:t>
      </w:r>
      <w:proofErr w:type="spellEnd"/>
      <w:r w:rsidRPr="00240498">
        <w:rPr>
          <w:rFonts w:ascii="Helvetica" w:eastAsia="Times New Roman" w:hAnsi="Helvetica" w:cs="Helvetica"/>
          <w:b/>
          <w:i/>
          <w:color w:val="0A1B32"/>
          <w:sz w:val="27"/>
          <w:szCs w:val="27"/>
          <w:lang w:val="en-US" w:eastAsia="pl-PL"/>
        </w:rPr>
        <w:t>), glue value at risk</w:t>
      </w:r>
      <w:r w:rsidRPr="00240498">
        <w:rPr>
          <w:rFonts w:ascii="Helvetica" w:eastAsia="Times New Roman" w:hAnsi="Helvetica" w:cs="Helvetica"/>
          <w:i/>
          <w:color w:val="0A1B32"/>
          <w:sz w:val="27"/>
          <w:szCs w:val="27"/>
          <w:lang w:val="en-US" w:eastAsia="pl-PL"/>
        </w:rPr>
        <w:t xml:space="preserve"> (glue </w:t>
      </w:r>
      <w:proofErr w:type="spellStart"/>
      <w:r w:rsidRPr="00240498">
        <w:rPr>
          <w:rFonts w:ascii="Helvetica" w:eastAsia="Times New Roman" w:hAnsi="Helvetica" w:cs="Helvetica"/>
          <w:i/>
          <w:color w:val="0A1B32"/>
          <w:sz w:val="27"/>
          <w:szCs w:val="27"/>
          <w:lang w:val="en-US" w:eastAsia="pl-PL"/>
        </w:rPr>
        <w:t>VaR</w:t>
      </w:r>
      <w:proofErr w:type="spellEnd"/>
      <w:r w:rsidRPr="00240498">
        <w:rPr>
          <w:rFonts w:ascii="Helvetica" w:eastAsia="Times New Roman" w:hAnsi="Helvetica" w:cs="Helvetica"/>
          <w:i/>
          <w:color w:val="0A1B32"/>
          <w:sz w:val="27"/>
          <w:szCs w:val="27"/>
          <w:lang w:val="en-US" w:eastAsia="pl-PL"/>
        </w:rPr>
        <w:t>), etc.</w:t>
      </w:r>
    </w:p>
    <w:p w:rsidR="00240498" w:rsidRPr="00240498" w:rsidRDefault="00240498" w:rsidP="00240498">
      <w:pPr>
        <w:pStyle w:val="ListParagraph"/>
        <w:numPr>
          <w:ilvl w:val="0"/>
          <w:numId w:val="9"/>
        </w:numPr>
        <w:spacing w:after="100" w:afterAutospacing="1" w:line="240" w:lineRule="auto"/>
        <w:rPr>
          <w:rFonts w:ascii="Helvetica" w:eastAsia="Times New Roman" w:hAnsi="Helvetica" w:cs="Helvetica"/>
          <w:b/>
          <w:i/>
          <w:color w:val="0A1B32"/>
          <w:sz w:val="27"/>
          <w:szCs w:val="27"/>
          <w:lang w:val="en-US" w:eastAsia="pl-PL"/>
        </w:rPr>
      </w:pPr>
      <w:r w:rsidRPr="00240498">
        <w:rPr>
          <w:rFonts w:ascii="Helvetica" w:eastAsia="Times New Roman" w:hAnsi="Helvetica" w:cs="Helvetica"/>
          <w:b/>
          <w:i/>
          <w:color w:val="0A1B32"/>
          <w:sz w:val="27"/>
          <w:szCs w:val="27"/>
          <w:lang w:val="en-US" w:eastAsia="pl-PL"/>
        </w:rPr>
        <w:t>statistical hazard function</w:t>
      </w:r>
    </w:p>
    <w:p w:rsidR="00240498" w:rsidRPr="00240498" w:rsidRDefault="00240498" w:rsidP="00240498">
      <w:pPr>
        <w:pStyle w:val="ListParagraph"/>
        <w:numPr>
          <w:ilvl w:val="0"/>
          <w:numId w:val="9"/>
        </w:numPr>
        <w:spacing w:after="100" w:afterAutospacing="1" w:line="240" w:lineRule="auto"/>
        <w:rPr>
          <w:rFonts w:ascii="Helvetica" w:eastAsia="Times New Roman" w:hAnsi="Helvetica" w:cs="Helvetica"/>
          <w:i/>
          <w:color w:val="0A1B32"/>
          <w:sz w:val="27"/>
          <w:szCs w:val="27"/>
          <w:lang w:val="en-US" w:eastAsia="pl-PL"/>
        </w:rPr>
      </w:pPr>
      <w:r w:rsidRPr="00240498">
        <w:rPr>
          <w:rFonts w:ascii="Helvetica" w:eastAsia="Times New Roman" w:hAnsi="Helvetica" w:cs="Helvetica"/>
          <w:b/>
          <w:i/>
          <w:color w:val="0A1B32"/>
          <w:sz w:val="27"/>
          <w:szCs w:val="27"/>
          <w:lang w:val="en-US" w:eastAsia="pl-PL"/>
        </w:rPr>
        <w:t xml:space="preserve">global value at risk (global </w:t>
      </w:r>
      <w:proofErr w:type="spellStart"/>
      <w:r w:rsidRPr="00240498">
        <w:rPr>
          <w:rFonts w:ascii="Helvetica" w:eastAsia="Times New Roman" w:hAnsi="Helvetica" w:cs="Helvetica"/>
          <w:b/>
          <w:i/>
          <w:color w:val="0A1B32"/>
          <w:sz w:val="27"/>
          <w:szCs w:val="27"/>
          <w:lang w:val="en-US" w:eastAsia="pl-PL"/>
        </w:rPr>
        <w:t>VaR</w:t>
      </w:r>
      <w:proofErr w:type="spellEnd"/>
      <w:r w:rsidRPr="00240498">
        <w:rPr>
          <w:rFonts w:ascii="Helvetica" w:eastAsia="Times New Roman" w:hAnsi="Helvetica" w:cs="Helvetica"/>
          <w:i/>
          <w:color w:val="0A1B32"/>
          <w:sz w:val="27"/>
          <w:szCs w:val="27"/>
          <w:lang w:val="en-US" w:eastAsia="pl-PL"/>
        </w:rPr>
        <w:t xml:space="preserve">), </w:t>
      </w:r>
    </w:p>
    <w:p w:rsidR="00240498" w:rsidRPr="00240498" w:rsidRDefault="00240498" w:rsidP="00240498">
      <w:pPr>
        <w:pStyle w:val="ListParagraph"/>
        <w:numPr>
          <w:ilvl w:val="0"/>
          <w:numId w:val="9"/>
        </w:numPr>
        <w:spacing w:after="100" w:afterAutospacing="1" w:line="240" w:lineRule="auto"/>
        <w:rPr>
          <w:rFonts w:ascii="Helvetica" w:eastAsia="Times New Roman" w:hAnsi="Helvetica" w:cs="Helvetica"/>
          <w:b/>
          <w:i/>
          <w:color w:val="0A1B32"/>
          <w:sz w:val="27"/>
          <w:szCs w:val="27"/>
          <w:lang w:val="en-US" w:eastAsia="pl-PL"/>
        </w:rPr>
      </w:pPr>
      <w:r w:rsidRPr="00240498">
        <w:rPr>
          <w:rFonts w:ascii="Helvetica" w:eastAsia="Times New Roman" w:hAnsi="Helvetica" w:cs="Helvetica"/>
          <w:b/>
          <w:i/>
          <w:color w:val="0A1B32"/>
          <w:sz w:val="27"/>
          <w:szCs w:val="27"/>
          <w:lang w:val="en-US" w:eastAsia="pl-PL"/>
        </w:rPr>
        <w:t>Gaussian value at risk</w:t>
      </w:r>
      <w:r w:rsidRPr="00240498">
        <w:rPr>
          <w:rFonts w:ascii="Helvetica" w:eastAsia="Times New Roman" w:hAnsi="Helvetica" w:cs="Helvetica"/>
          <w:i/>
          <w:color w:val="0A1B32"/>
          <w:sz w:val="27"/>
          <w:szCs w:val="27"/>
          <w:lang w:val="en-US" w:eastAsia="pl-PL"/>
        </w:rPr>
        <w:t xml:space="preserve"> (Gaussian </w:t>
      </w:r>
      <w:proofErr w:type="spellStart"/>
      <w:r w:rsidRPr="00240498">
        <w:rPr>
          <w:rFonts w:ascii="Helvetica" w:eastAsia="Times New Roman" w:hAnsi="Helvetica" w:cs="Helvetica"/>
          <w:i/>
          <w:color w:val="0A1B32"/>
          <w:sz w:val="27"/>
          <w:szCs w:val="27"/>
          <w:lang w:val="en-US" w:eastAsia="pl-PL"/>
        </w:rPr>
        <w:t>VaR</w:t>
      </w:r>
      <w:proofErr w:type="spellEnd"/>
      <w:r w:rsidRPr="00240498">
        <w:rPr>
          <w:rFonts w:ascii="Helvetica" w:eastAsia="Times New Roman" w:hAnsi="Helvetica" w:cs="Helvetica"/>
          <w:b/>
          <w:i/>
          <w:color w:val="0A1B32"/>
          <w:sz w:val="27"/>
          <w:szCs w:val="27"/>
          <w:lang w:val="en-US" w:eastAsia="pl-PL"/>
        </w:rPr>
        <w:t xml:space="preserve">), </w:t>
      </w:r>
    </w:p>
    <w:p w:rsidR="00240498" w:rsidRPr="00240498" w:rsidRDefault="00240498" w:rsidP="00240498">
      <w:pPr>
        <w:pStyle w:val="ListParagraph"/>
        <w:numPr>
          <w:ilvl w:val="0"/>
          <w:numId w:val="9"/>
        </w:numPr>
        <w:spacing w:after="100" w:afterAutospacing="1" w:line="240" w:lineRule="auto"/>
        <w:rPr>
          <w:rFonts w:ascii="Helvetica" w:eastAsia="Times New Roman" w:hAnsi="Helvetica" w:cs="Helvetica"/>
          <w:b/>
          <w:color w:val="0A1B32"/>
          <w:sz w:val="27"/>
          <w:szCs w:val="27"/>
          <w:lang w:val="en-US" w:eastAsia="pl-PL"/>
        </w:rPr>
      </w:pPr>
      <w:r w:rsidRPr="00240498">
        <w:rPr>
          <w:rFonts w:ascii="Helvetica" w:eastAsia="Times New Roman" w:hAnsi="Helvetica" w:cs="Helvetica"/>
          <w:b/>
          <w:i/>
          <w:color w:val="0A1B32"/>
          <w:sz w:val="27"/>
          <w:szCs w:val="27"/>
          <w:lang w:val="en-US" w:eastAsia="pl-PL"/>
        </w:rPr>
        <w:t>glue value at risk</w:t>
      </w:r>
      <w:r w:rsidRPr="00240498">
        <w:rPr>
          <w:rFonts w:ascii="Helvetica" w:eastAsia="Times New Roman" w:hAnsi="Helvetica" w:cs="Helvetica"/>
          <w:i/>
          <w:color w:val="0A1B32"/>
          <w:sz w:val="27"/>
          <w:szCs w:val="27"/>
          <w:lang w:val="en-US" w:eastAsia="pl-PL"/>
        </w:rPr>
        <w:t xml:space="preserve"> (glue </w:t>
      </w:r>
      <w:proofErr w:type="spellStart"/>
      <w:r w:rsidRPr="00240498">
        <w:rPr>
          <w:rFonts w:ascii="Helvetica" w:eastAsia="Times New Roman" w:hAnsi="Helvetica" w:cs="Helvetica"/>
          <w:i/>
          <w:color w:val="0A1B32"/>
          <w:sz w:val="27"/>
          <w:szCs w:val="27"/>
          <w:lang w:val="en-US" w:eastAsia="pl-PL"/>
        </w:rPr>
        <w:t>VaR</w:t>
      </w:r>
      <w:proofErr w:type="spellEnd"/>
      <w:r w:rsidRPr="00240498">
        <w:rPr>
          <w:rFonts w:ascii="Helvetica" w:eastAsia="Times New Roman" w:hAnsi="Helvetica" w:cs="Helvetica"/>
          <w:i/>
          <w:color w:val="0A1B32"/>
          <w:sz w:val="27"/>
          <w:szCs w:val="27"/>
          <w:lang w:val="en-US" w:eastAsia="pl-PL"/>
        </w:rPr>
        <w:t>),</w:t>
      </w:r>
    </w:p>
    <w:p w:rsidR="00754929" w:rsidRDefault="00754929" w:rsidP="007E585A">
      <w:pPr>
        <w:spacing w:after="100" w:afterAutospacing="1" w:line="240" w:lineRule="auto"/>
        <w:jc w:val="both"/>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 xml:space="preserve">9. What is the one-day </w:t>
      </w:r>
      <w:proofErr w:type="spellStart"/>
      <w:r w:rsidRPr="00754929">
        <w:rPr>
          <w:rFonts w:ascii="Helvetica" w:eastAsia="Times New Roman" w:hAnsi="Helvetica" w:cs="Helvetica"/>
          <w:b/>
          <w:color w:val="0A1B32"/>
          <w:sz w:val="27"/>
          <w:szCs w:val="27"/>
          <w:lang w:val="en-US" w:eastAsia="pl-PL"/>
        </w:rPr>
        <w:t>VaR</w:t>
      </w:r>
      <w:proofErr w:type="spellEnd"/>
      <w:r w:rsidRPr="00754929">
        <w:rPr>
          <w:rFonts w:ascii="Helvetica" w:eastAsia="Times New Roman" w:hAnsi="Helvetica" w:cs="Helvetica"/>
          <w:b/>
          <w:color w:val="0A1B32"/>
          <w:sz w:val="27"/>
          <w:szCs w:val="27"/>
          <w:lang w:val="en-US" w:eastAsia="pl-PL"/>
        </w:rPr>
        <w:t xml:space="preserve"> of a $50m portfolio with a daily standard deviation of 2% at a 95% confidence level? What is the annualized </w:t>
      </w:r>
      <w:proofErr w:type="spellStart"/>
      <w:r w:rsidRPr="00754929">
        <w:rPr>
          <w:rFonts w:ascii="Helvetica" w:eastAsia="Times New Roman" w:hAnsi="Helvetica" w:cs="Helvetica"/>
          <w:b/>
          <w:color w:val="0A1B32"/>
          <w:sz w:val="27"/>
          <w:szCs w:val="27"/>
          <w:lang w:val="en-US" w:eastAsia="pl-PL"/>
        </w:rPr>
        <w:t>VaR</w:t>
      </w:r>
      <w:proofErr w:type="spellEnd"/>
      <w:r w:rsidRPr="00754929">
        <w:rPr>
          <w:rFonts w:ascii="Helvetica" w:eastAsia="Times New Roman" w:hAnsi="Helvetica" w:cs="Helvetica"/>
          <w:b/>
          <w:color w:val="0A1B32"/>
          <w:sz w:val="27"/>
          <w:szCs w:val="27"/>
          <w:lang w:val="en-US" w:eastAsia="pl-PL"/>
        </w:rPr>
        <w:t>?</w:t>
      </w:r>
    </w:p>
    <w:p w:rsidR="007E585A" w:rsidRPr="007E585A" w:rsidRDefault="007E585A" w:rsidP="007E585A">
      <w:pPr>
        <w:spacing w:after="100" w:afterAutospacing="1" w:line="240" w:lineRule="auto"/>
        <w:jc w:val="both"/>
        <w:rPr>
          <w:rFonts w:ascii="Helvetica" w:eastAsia="Times New Roman" w:hAnsi="Helvetica" w:cs="Helvetica"/>
          <w:i/>
          <w:color w:val="0A1B32"/>
          <w:sz w:val="27"/>
          <w:szCs w:val="27"/>
          <w:lang w:val="en-US" w:eastAsia="pl-PL"/>
        </w:rPr>
      </w:pPr>
      <w:r w:rsidRPr="007E585A">
        <w:rPr>
          <w:rFonts w:ascii="Helvetica" w:eastAsia="Times New Roman" w:hAnsi="Helvetica" w:cs="Helvetica"/>
          <w:i/>
          <w:color w:val="0A1B32"/>
          <w:sz w:val="27"/>
          <w:szCs w:val="27"/>
          <w:lang w:val="en-US" w:eastAsia="pl-PL"/>
        </w:rPr>
        <w:t xml:space="preserve">Daily </w:t>
      </w:r>
      <w:proofErr w:type="spellStart"/>
      <w:r w:rsidRPr="007E585A">
        <w:rPr>
          <w:rFonts w:ascii="Helvetica" w:eastAsia="Times New Roman" w:hAnsi="Helvetica" w:cs="Helvetica"/>
          <w:i/>
          <w:color w:val="0A1B32"/>
          <w:sz w:val="27"/>
          <w:szCs w:val="27"/>
          <w:lang w:val="en-US" w:eastAsia="pl-PL"/>
        </w:rPr>
        <w:t>VaR</w:t>
      </w:r>
      <w:proofErr w:type="spellEnd"/>
      <w:r w:rsidRPr="007E585A">
        <w:rPr>
          <w:rFonts w:ascii="Helvetica" w:eastAsia="Times New Roman" w:hAnsi="Helvetica" w:cs="Helvetica"/>
          <w:i/>
          <w:color w:val="0A1B32"/>
          <w:sz w:val="27"/>
          <w:szCs w:val="27"/>
          <w:lang w:val="en-US" w:eastAsia="pl-PL"/>
        </w:rPr>
        <w:t xml:space="preserve"> = - 50m * 2% * 1.65 = -1.65m</w:t>
      </w:r>
    </w:p>
    <w:p w:rsidR="007E585A" w:rsidRPr="00754929" w:rsidRDefault="007E585A" w:rsidP="007E585A">
      <w:pPr>
        <w:spacing w:after="100" w:afterAutospacing="1" w:line="240" w:lineRule="auto"/>
        <w:jc w:val="both"/>
        <w:rPr>
          <w:rFonts w:ascii="Helvetica" w:eastAsia="Times New Roman" w:hAnsi="Helvetica" w:cs="Helvetica"/>
          <w:i/>
          <w:color w:val="0A1B32"/>
          <w:sz w:val="27"/>
          <w:szCs w:val="27"/>
          <w:lang w:val="en-US" w:eastAsia="pl-PL"/>
        </w:rPr>
      </w:pPr>
      <w:r w:rsidRPr="007E585A">
        <w:rPr>
          <w:rFonts w:ascii="Helvetica" w:eastAsia="Times New Roman" w:hAnsi="Helvetica" w:cs="Helvetica"/>
          <w:i/>
          <w:color w:val="0A1B32"/>
          <w:sz w:val="27"/>
          <w:szCs w:val="27"/>
          <w:lang w:val="en-US" w:eastAsia="pl-PL"/>
        </w:rPr>
        <w:t xml:space="preserve">Annualized </w:t>
      </w:r>
      <w:proofErr w:type="spellStart"/>
      <w:r w:rsidRPr="007E585A">
        <w:rPr>
          <w:rFonts w:ascii="Helvetica" w:eastAsia="Times New Roman" w:hAnsi="Helvetica" w:cs="Helvetica"/>
          <w:i/>
          <w:color w:val="0A1B32"/>
          <w:sz w:val="27"/>
          <w:szCs w:val="27"/>
          <w:lang w:val="en-US" w:eastAsia="pl-PL"/>
        </w:rPr>
        <w:t>VaR</w:t>
      </w:r>
      <w:proofErr w:type="spellEnd"/>
      <w:r w:rsidRPr="007E585A">
        <w:rPr>
          <w:rFonts w:ascii="Helvetica" w:eastAsia="Times New Roman" w:hAnsi="Helvetica" w:cs="Helvetica"/>
          <w:i/>
          <w:color w:val="0A1B32"/>
          <w:sz w:val="27"/>
          <w:szCs w:val="27"/>
          <w:lang w:val="en-US" w:eastAsia="pl-PL"/>
        </w:rPr>
        <w:t xml:space="preserve"> = -1.65m * </w:t>
      </w:r>
      <w:proofErr w:type="spellStart"/>
      <w:r w:rsidRPr="007E585A">
        <w:rPr>
          <w:rFonts w:ascii="Helvetica" w:eastAsia="Times New Roman" w:hAnsi="Helvetica" w:cs="Helvetica"/>
          <w:i/>
          <w:color w:val="0A1B32"/>
          <w:sz w:val="27"/>
          <w:szCs w:val="27"/>
          <w:lang w:val="en-US" w:eastAsia="pl-PL"/>
        </w:rPr>
        <w:t>sqrt</w:t>
      </w:r>
      <w:proofErr w:type="spellEnd"/>
      <w:r w:rsidRPr="007E585A">
        <w:rPr>
          <w:rFonts w:ascii="Helvetica" w:eastAsia="Times New Roman" w:hAnsi="Helvetica" w:cs="Helvetica"/>
          <w:i/>
          <w:color w:val="0A1B32"/>
          <w:sz w:val="27"/>
          <w:szCs w:val="27"/>
          <w:lang w:val="en-US" w:eastAsia="pl-PL"/>
        </w:rPr>
        <w:t>(252)</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10. What do you know about extreme value theory?</w:t>
      </w:r>
    </w:p>
    <w:p w:rsidR="007E585A" w:rsidRPr="007E585A" w:rsidRDefault="007E585A" w:rsidP="007E585A">
      <w:pPr>
        <w:spacing w:after="100" w:afterAutospacing="1" w:line="240" w:lineRule="auto"/>
        <w:jc w:val="both"/>
        <w:rPr>
          <w:rFonts w:ascii="Helvetica" w:eastAsia="Times New Roman" w:hAnsi="Helvetica" w:cs="Helvetica"/>
          <w:i/>
          <w:color w:val="0A1B32"/>
          <w:sz w:val="27"/>
          <w:szCs w:val="27"/>
          <w:lang w:val="en-US" w:eastAsia="pl-PL"/>
        </w:rPr>
      </w:pPr>
      <w:r w:rsidRPr="007E585A">
        <w:rPr>
          <w:rFonts w:ascii="Helvetica" w:eastAsia="Times New Roman" w:hAnsi="Helvetica" w:cs="Helvetica"/>
          <w:i/>
          <w:color w:val="0A1B32"/>
          <w:sz w:val="27"/>
          <w:szCs w:val="27"/>
          <w:lang w:val="en-US" w:eastAsia="pl-PL"/>
        </w:rPr>
        <w:t xml:space="preserve">Extreme value theory or extreme value analysis (EVA) is a branch of statistics dealing with the extreme deviations from the median of probability distributions. It seeks to assess, from a given ordered sample of a given random variable, the probability of events that are more extreme than any previously observed. Extreme value analysis is widely used in many disciplines, such as structural engineering, finance, earth sciences, traffic prediction, and geological engineering. For example, EVA might be used in the field of hydrology to estimate the probability of an unusually large flooding event, such as the 100-year flood. Similarly, for the design of a breakwater, </w:t>
      </w:r>
      <w:r w:rsidRPr="007E585A">
        <w:rPr>
          <w:rFonts w:ascii="Helvetica" w:eastAsia="Times New Roman" w:hAnsi="Helvetica" w:cs="Helvetica"/>
          <w:i/>
          <w:color w:val="0A1B32"/>
          <w:sz w:val="27"/>
          <w:szCs w:val="27"/>
          <w:lang w:val="en-US" w:eastAsia="pl-PL"/>
        </w:rPr>
        <w:lastRenderedPageBreak/>
        <w:t>a coastal engineer would seek to estimate the 50-year wave and design the structure accordingly.</w:t>
      </w:r>
    </w:p>
    <w:p w:rsidR="00B6309B" w:rsidRPr="00754929" w:rsidRDefault="00B6309B" w:rsidP="00754929">
      <w:pPr>
        <w:spacing w:after="100" w:afterAutospacing="1" w:line="240" w:lineRule="auto"/>
        <w:rPr>
          <w:rFonts w:ascii="Helvetica" w:eastAsia="Times New Roman" w:hAnsi="Helvetica" w:cs="Helvetica"/>
          <w:b/>
          <w:color w:val="0A1B32"/>
          <w:sz w:val="27"/>
          <w:szCs w:val="27"/>
          <w:lang w:val="en-US" w:eastAsia="pl-PL"/>
        </w:rPr>
      </w:pPr>
      <w:hyperlink r:id="rId6" w:history="1">
        <w:r w:rsidRPr="00F61129">
          <w:rPr>
            <w:rStyle w:val="Hyperlink"/>
            <w:rFonts w:ascii="Helvetica" w:eastAsia="Times New Roman" w:hAnsi="Helvetica" w:cs="Helvetica"/>
            <w:b/>
            <w:sz w:val="27"/>
            <w:szCs w:val="27"/>
            <w:lang w:val="en-US" w:eastAsia="pl-PL"/>
          </w:rPr>
          <w:t>https://en.wikipedia.org/wiki/Extreme_value_theory</w:t>
        </w:r>
      </w:hyperlink>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 xml:space="preserve">11. What is Expected Shortfall? How is it calculated? Why is it considered better than </w:t>
      </w:r>
      <w:proofErr w:type="spellStart"/>
      <w:r w:rsidRPr="00754929">
        <w:rPr>
          <w:rFonts w:ascii="Helvetica" w:eastAsia="Times New Roman" w:hAnsi="Helvetica" w:cs="Helvetica"/>
          <w:b/>
          <w:color w:val="0A1B32"/>
          <w:sz w:val="27"/>
          <w:szCs w:val="27"/>
          <w:lang w:val="en-US" w:eastAsia="pl-PL"/>
        </w:rPr>
        <w:t>VaR</w:t>
      </w:r>
      <w:proofErr w:type="spellEnd"/>
      <w:r w:rsidRPr="00754929">
        <w:rPr>
          <w:rFonts w:ascii="Helvetica" w:eastAsia="Times New Roman" w:hAnsi="Helvetica" w:cs="Helvetica"/>
          <w:b/>
          <w:color w:val="0A1B32"/>
          <w:sz w:val="27"/>
          <w:szCs w:val="27"/>
          <w:lang w:val="en-US" w:eastAsia="pl-PL"/>
        </w:rPr>
        <w:t>? What are the disadvantages?</w:t>
      </w:r>
    </w:p>
    <w:p w:rsidR="00E8047E" w:rsidRPr="00E8047E" w:rsidRDefault="00E8047E" w:rsidP="00754929">
      <w:pPr>
        <w:spacing w:after="100" w:afterAutospacing="1" w:line="240" w:lineRule="auto"/>
        <w:rPr>
          <w:rFonts w:ascii="Helvetica" w:eastAsia="Times New Roman" w:hAnsi="Helvetica" w:cs="Helvetica"/>
          <w:i/>
          <w:color w:val="0A1B32"/>
          <w:sz w:val="27"/>
          <w:szCs w:val="27"/>
          <w:lang w:val="en-US" w:eastAsia="pl-PL"/>
        </w:rPr>
      </w:pPr>
      <w:r w:rsidRPr="00E8047E">
        <w:rPr>
          <w:rFonts w:ascii="Helvetica" w:eastAsia="Times New Roman" w:hAnsi="Helvetica" w:cs="Helvetica"/>
          <w:i/>
          <w:color w:val="0A1B32"/>
          <w:sz w:val="27"/>
          <w:szCs w:val="27"/>
          <w:lang w:val="en-US" w:eastAsia="pl-PL"/>
        </w:rPr>
        <w:t xml:space="preserve">Calculated as weighted average in the distribution tail (or integral over </w:t>
      </w:r>
      <w:proofErr w:type="spellStart"/>
      <w:r w:rsidRPr="00E8047E">
        <w:rPr>
          <w:rFonts w:ascii="Helvetica" w:eastAsia="Times New Roman" w:hAnsi="Helvetica" w:cs="Helvetica"/>
          <w:i/>
          <w:color w:val="0A1B32"/>
          <w:sz w:val="27"/>
          <w:szCs w:val="27"/>
          <w:lang w:val="en-US" w:eastAsia="pl-PL"/>
        </w:rPr>
        <w:t>prob</w:t>
      </w:r>
      <w:proofErr w:type="spellEnd"/>
      <w:r w:rsidRPr="00E8047E">
        <w:rPr>
          <w:rFonts w:ascii="Helvetica" w:eastAsia="Times New Roman" w:hAnsi="Helvetica" w:cs="Helvetica"/>
          <w:i/>
          <w:color w:val="0A1B32"/>
          <w:sz w:val="27"/>
          <w:szCs w:val="27"/>
          <w:lang w:val="en-US" w:eastAsia="pl-PL"/>
        </w:rPr>
        <w:t xml:space="preserve"> density in the tail)</w:t>
      </w:r>
    </w:p>
    <w:p w:rsidR="00E8047E" w:rsidRPr="00E8047E" w:rsidRDefault="00E8047E" w:rsidP="00754929">
      <w:pPr>
        <w:spacing w:after="100" w:afterAutospacing="1" w:line="240" w:lineRule="auto"/>
        <w:rPr>
          <w:rFonts w:ascii="Helvetica" w:eastAsia="Times New Roman" w:hAnsi="Helvetica" w:cs="Helvetica"/>
          <w:i/>
          <w:color w:val="0A1B32"/>
          <w:sz w:val="27"/>
          <w:szCs w:val="27"/>
          <w:lang w:val="en-US" w:eastAsia="pl-PL"/>
        </w:rPr>
      </w:pPr>
      <w:r w:rsidRPr="00E8047E">
        <w:rPr>
          <w:rFonts w:ascii="Helvetica" w:eastAsia="Times New Roman" w:hAnsi="Helvetica" w:cs="Helvetica"/>
          <w:i/>
          <w:color w:val="0A1B32"/>
          <w:sz w:val="27"/>
          <w:szCs w:val="27"/>
          <w:lang w:val="en-US" w:eastAsia="pl-PL"/>
        </w:rPr>
        <w:t xml:space="preserve">Measures the </w:t>
      </w:r>
      <w:proofErr w:type="spellStart"/>
      <w:r w:rsidRPr="00E8047E">
        <w:rPr>
          <w:rFonts w:ascii="Helvetica" w:eastAsia="Times New Roman" w:hAnsi="Helvetica" w:cs="Helvetica"/>
          <w:i/>
          <w:color w:val="0A1B32"/>
          <w:sz w:val="27"/>
          <w:szCs w:val="27"/>
          <w:lang w:val="en-US" w:eastAsia="pl-PL"/>
        </w:rPr>
        <w:t>wavg</w:t>
      </w:r>
      <w:proofErr w:type="spellEnd"/>
      <w:r w:rsidRPr="00E8047E">
        <w:rPr>
          <w:rFonts w:ascii="Helvetica" w:eastAsia="Times New Roman" w:hAnsi="Helvetica" w:cs="Helvetica"/>
          <w:i/>
          <w:color w:val="0A1B32"/>
          <w:sz w:val="27"/>
          <w:szCs w:val="27"/>
          <w:lang w:val="en-US" w:eastAsia="pl-PL"/>
        </w:rPr>
        <w:t xml:space="preserve"> loss outside of the </w:t>
      </w:r>
      <w:proofErr w:type="spellStart"/>
      <w:r w:rsidRPr="00E8047E">
        <w:rPr>
          <w:rFonts w:ascii="Helvetica" w:eastAsia="Times New Roman" w:hAnsi="Helvetica" w:cs="Helvetica"/>
          <w:i/>
          <w:color w:val="0A1B32"/>
          <w:sz w:val="27"/>
          <w:szCs w:val="27"/>
          <w:lang w:val="en-US" w:eastAsia="pl-PL"/>
        </w:rPr>
        <w:t>VaR</w:t>
      </w:r>
      <w:proofErr w:type="spellEnd"/>
      <w:r w:rsidRPr="00E8047E">
        <w:rPr>
          <w:rFonts w:ascii="Helvetica" w:eastAsia="Times New Roman" w:hAnsi="Helvetica" w:cs="Helvetica"/>
          <w:i/>
          <w:color w:val="0A1B32"/>
          <w:sz w:val="27"/>
          <w:szCs w:val="27"/>
          <w:lang w:val="en-US" w:eastAsia="pl-PL"/>
        </w:rPr>
        <w:t xml:space="preserve"> (higher than assumed </w:t>
      </w:r>
      <w:proofErr w:type="spellStart"/>
      <w:r w:rsidRPr="00E8047E">
        <w:rPr>
          <w:rFonts w:ascii="Helvetica" w:eastAsia="Times New Roman" w:hAnsi="Helvetica" w:cs="Helvetica"/>
          <w:i/>
          <w:color w:val="0A1B32"/>
          <w:sz w:val="27"/>
          <w:szCs w:val="27"/>
          <w:lang w:val="en-US" w:eastAsia="pl-PL"/>
        </w:rPr>
        <w:t>VaR</w:t>
      </w:r>
      <w:proofErr w:type="spellEnd"/>
      <w:r w:rsidRPr="00E8047E">
        <w:rPr>
          <w:rFonts w:ascii="Helvetica" w:eastAsia="Times New Roman" w:hAnsi="Helvetica" w:cs="Helvetica"/>
          <w:i/>
          <w:color w:val="0A1B32"/>
          <w:sz w:val="27"/>
          <w:szCs w:val="27"/>
          <w:lang w:val="en-US" w:eastAsia="pl-PL"/>
        </w:rPr>
        <w:t>)</w:t>
      </w:r>
    </w:p>
    <w:p w:rsidR="00E8047E" w:rsidRPr="00E8047E" w:rsidRDefault="00E8047E" w:rsidP="00754929">
      <w:pPr>
        <w:spacing w:after="100" w:afterAutospacing="1" w:line="240" w:lineRule="auto"/>
        <w:rPr>
          <w:rFonts w:ascii="Helvetica" w:eastAsia="Times New Roman" w:hAnsi="Helvetica" w:cs="Helvetica"/>
          <w:i/>
          <w:color w:val="0A1B32"/>
          <w:sz w:val="27"/>
          <w:szCs w:val="27"/>
          <w:lang w:val="en-US" w:eastAsia="pl-PL"/>
        </w:rPr>
      </w:pPr>
      <w:r w:rsidRPr="00E8047E">
        <w:rPr>
          <w:rFonts w:ascii="Helvetica" w:eastAsia="Times New Roman" w:hAnsi="Helvetica" w:cs="Helvetica"/>
          <w:i/>
          <w:color w:val="0A1B32"/>
          <w:sz w:val="27"/>
          <w:szCs w:val="27"/>
          <w:lang w:val="en-US" w:eastAsia="pl-PL"/>
        </w:rPr>
        <w:t>It is a consistent risk measure, better accounting for extreme events</w:t>
      </w:r>
    </w:p>
    <w:p w:rsidR="00E8047E" w:rsidRDefault="00E8047E" w:rsidP="00754929">
      <w:pPr>
        <w:spacing w:after="100" w:afterAutospacing="1" w:line="240" w:lineRule="auto"/>
        <w:rPr>
          <w:rFonts w:ascii="Helvetica" w:eastAsia="Times New Roman" w:hAnsi="Helvetica" w:cs="Helvetica"/>
          <w:i/>
          <w:color w:val="0A1B32"/>
          <w:sz w:val="27"/>
          <w:szCs w:val="27"/>
          <w:lang w:val="en-US" w:eastAsia="pl-PL"/>
        </w:rPr>
      </w:pPr>
      <w:r w:rsidRPr="00E8047E">
        <w:rPr>
          <w:rFonts w:ascii="Helvetica" w:eastAsia="Times New Roman" w:hAnsi="Helvetica" w:cs="Helvetica"/>
          <w:i/>
          <w:color w:val="0A1B32"/>
          <w:sz w:val="27"/>
          <w:szCs w:val="27"/>
          <w:lang w:val="en-US" w:eastAsia="pl-PL"/>
        </w:rPr>
        <w:t xml:space="preserve">It is more cumbersome to compute; </w:t>
      </w:r>
      <w:proofErr w:type="spellStart"/>
      <w:r w:rsidRPr="00E8047E">
        <w:rPr>
          <w:rFonts w:ascii="Helvetica" w:eastAsia="Times New Roman" w:hAnsi="Helvetica" w:cs="Helvetica"/>
          <w:i/>
          <w:color w:val="0A1B32"/>
          <w:sz w:val="27"/>
          <w:szCs w:val="27"/>
          <w:lang w:val="en-US" w:eastAsia="pl-PL"/>
        </w:rPr>
        <w:t>backtesting</w:t>
      </w:r>
      <w:proofErr w:type="spellEnd"/>
      <w:r w:rsidRPr="00E8047E">
        <w:rPr>
          <w:rFonts w:ascii="Helvetica" w:eastAsia="Times New Roman" w:hAnsi="Helvetica" w:cs="Helvetica"/>
          <w:i/>
          <w:color w:val="0A1B32"/>
          <w:sz w:val="27"/>
          <w:szCs w:val="27"/>
          <w:lang w:val="en-US" w:eastAsia="pl-PL"/>
        </w:rPr>
        <w:t xml:space="preserve"> and stability concerns.</w:t>
      </w:r>
    </w:p>
    <w:p w:rsidR="00E8047E" w:rsidRDefault="00E8047E" w:rsidP="000B4C4F">
      <w:pPr>
        <w:spacing w:after="100" w:afterAutospacing="1" w:line="240" w:lineRule="auto"/>
        <w:jc w:val="both"/>
        <w:rPr>
          <w:rFonts w:ascii="Helvetica" w:eastAsia="Times New Roman" w:hAnsi="Helvetica" w:cs="Helvetica"/>
          <w:i/>
          <w:color w:val="0A1B32"/>
          <w:sz w:val="27"/>
          <w:szCs w:val="27"/>
          <w:lang w:val="en-US" w:eastAsia="pl-PL"/>
        </w:rPr>
      </w:pPr>
      <w:r w:rsidRPr="00E8047E">
        <w:rPr>
          <w:rFonts w:ascii="Helvetica" w:eastAsia="Times New Roman" w:hAnsi="Helvetica" w:cs="Helvetica"/>
          <w:i/>
          <w:color w:val="0A1B32"/>
          <w:sz w:val="27"/>
          <w:szCs w:val="27"/>
          <w:lang w:val="en-US" w:eastAsia="pl-PL"/>
        </w:rPr>
        <w:t xml:space="preserve">Expected shortfall has disadvantages as well as advantages, of course. First, it is difficult to back-test. When a one-day 99% VAR model based on the most recent historical data is being back-tested, we can observe the number of exceptions that would have been encountered if the model had been used in the past, and test whether this is significantly different from what is expected. Back-testing a one-day ES model is much more challenging, because we are interested in the average size of the losses when exceptions are observed. A back-testing period of 250 days is usually used by regulators. This can be expected to give about 6 exceptions when a 97.5% confidence limit is used, which is a small sample. However, </w:t>
      </w:r>
      <w:proofErr w:type="spellStart"/>
      <w:r w:rsidRPr="00E8047E">
        <w:rPr>
          <w:rFonts w:ascii="Helvetica" w:eastAsia="Times New Roman" w:hAnsi="Helvetica" w:cs="Helvetica"/>
          <w:i/>
          <w:color w:val="0A1B32"/>
          <w:sz w:val="27"/>
          <w:szCs w:val="27"/>
          <w:lang w:val="en-US" w:eastAsia="pl-PL"/>
        </w:rPr>
        <w:t>Acerbi</w:t>
      </w:r>
      <w:proofErr w:type="spellEnd"/>
      <w:r w:rsidRPr="00E8047E">
        <w:rPr>
          <w:rFonts w:ascii="Helvetica" w:eastAsia="Times New Roman" w:hAnsi="Helvetica" w:cs="Helvetica"/>
          <w:i/>
          <w:color w:val="0A1B32"/>
          <w:sz w:val="27"/>
          <w:szCs w:val="27"/>
          <w:lang w:val="en-US" w:eastAsia="pl-PL"/>
        </w:rPr>
        <w:t xml:space="preserve"> and </w:t>
      </w:r>
      <w:proofErr w:type="spellStart"/>
      <w:r w:rsidRPr="00E8047E">
        <w:rPr>
          <w:rFonts w:ascii="Helvetica" w:eastAsia="Times New Roman" w:hAnsi="Helvetica" w:cs="Helvetica"/>
          <w:i/>
          <w:color w:val="0A1B32"/>
          <w:sz w:val="27"/>
          <w:szCs w:val="27"/>
          <w:lang w:val="en-US" w:eastAsia="pl-PL"/>
        </w:rPr>
        <w:t>Szekely</w:t>
      </w:r>
      <w:proofErr w:type="spellEnd"/>
      <w:r w:rsidRPr="00E8047E">
        <w:rPr>
          <w:rFonts w:ascii="Helvetica" w:eastAsia="Times New Roman" w:hAnsi="Helvetica" w:cs="Helvetica"/>
          <w:i/>
          <w:color w:val="0A1B32"/>
          <w:sz w:val="27"/>
          <w:szCs w:val="27"/>
          <w:lang w:val="en-US" w:eastAsia="pl-PL"/>
        </w:rPr>
        <w:t xml:space="preserve"> (2014) seem to get reasonable results when experimenting with three different tests of ES and standard distributions. A key point is that back-testing a stressed model, whether VAR or ES, is not possible because we are interested in whether the model performs well for another stressed period, but we do not have another such period to use for testing. The use of varying time horizons in FRTB is an added complication in back-testing. The Basel Committee has presumably </w:t>
      </w:r>
      <w:proofErr w:type="spellStart"/>
      <w:r w:rsidRPr="00E8047E">
        <w:rPr>
          <w:rFonts w:ascii="Helvetica" w:eastAsia="Times New Roman" w:hAnsi="Helvetica" w:cs="Helvetica"/>
          <w:i/>
          <w:color w:val="0A1B32"/>
          <w:sz w:val="27"/>
          <w:szCs w:val="27"/>
          <w:lang w:val="en-US" w:eastAsia="pl-PL"/>
        </w:rPr>
        <w:t>recognised</w:t>
      </w:r>
      <w:proofErr w:type="spellEnd"/>
      <w:r w:rsidRPr="00E8047E">
        <w:rPr>
          <w:rFonts w:ascii="Helvetica" w:eastAsia="Times New Roman" w:hAnsi="Helvetica" w:cs="Helvetica"/>
          <w:i/>
          <w:color w:val="0A1B32"/>
          <w:sz w:val="27"/>
          <w:szCs w:val="27"/>
          <w:lang w:val="en-US" w:eastAsia="pl-PL"/>
        </w:rPr>
        <w:t xml:space="preserve"> this because the review requires the back-testing of a one-day VAR model calculated in the usual way from recent historical data. We are therefore in the strange position where the risk measure being back-tested is quite different from that used to calculate capital. Another disadvantage of ES is that estimates of the measure may not be as accurate as estimates of VAR. </w:t>
      </w:r>
      <w:proofErr w:type="spellStart"/>
      <w:r w:rsidRPr="00E8047E">
        <w:rPr>
          <w:rFonts w:ascii="Helvetica" w:eastAsia="Times New Roman" w:hAnsi="Helvetica" w:cs="Helvetica"/>
          <w:i/>
          <w:color w:val="0A1B32"/>
          <w:sz w:val="27"/>
          <w:szCs w:val="27"/>
          <w:lang w:val="en-US" w:eastAsia="pl-PL"/>
        </w:rPr>
        <w:t>Yamai</w:t>
      </w:r>
      <w:proofErr w:type="spellEnd"/>
      <w:r w:rsidRPr="00E8047E">
        <w:rPr>
          <w:rFonts w:ascii="Helvetica" w:eastAsia="Times New Roman" w:hAnsi="Helvetica" w:cs="Helvetica"/>
          <w:i/>
          <w:color w:val="0A1B32"/>
          <w:sz w:val="27"/>
          <w:szCs w:val="27"/>
          <w:lang w:val="en-US" w:eastAsia="pl-PL"/>
        </w:rPr>
        <w:t xml:space="preserve"> and </w:t>
      </w:r>
      <w:proofErr w:type="spellStart"/>
      <w:r w:rsidRPr="00E8047E">
        <w:rPr>
          <w:rFonts w:ascii="Helvetica" w:eastAsia="Times New Roman" w:hAnsi="Helvetica" w:cs="Helvetica"/>
          <w:i/>
          <w:color w:val="0A1B32"/>
          <w:sz w:val="27"/>
          <w:szCs w:val="27"/>
          <w:lang w:val="en-US" w:eastAsia="pl-PL"/>
        </w:rPr>
        <w:t>Yoshiba</w:t>
      </w:r>
      <w:proofErr w:type="spellEnd"/>
      <w:r w:rsidRPr="00E8047E">
        <w:rPr>
          <w:rFonts w:ascii="Helvetica" w:eastAsia="Times New Roman" w:hAnsi="Helvetica" w:cs="Helvetica"/>
          <w:i/>
          <w:color w:val="0A1B32"/>
          <w:sz w:val="27"/>
          <w:szCs w:val="27"/>
          <w:lang w:val="en-US" w:eastAsia="pl-PL"/>
        </w:rPr>
        <w:t xml:space="preserve"> (2002) looked at this. They found that for a certain number of observations and a certain confidence level, the accuracy of VAR and ES is about the same when the loss is normally distributed, but that VAR estimates are more accurate than ES estimates when the losses have fat tails.6 This means capital calculated from ES may be less stable than capital calculated from V</w:t>
      </w:r>
      <w:r>
        <w:rPr>
          <w:rFonts w:ascii="Helvetica" w:eastAsia="Times New Roman" w:hAnsi="Helvetica" w:cs="Helvetica"/>
          <w:i/>
          <w:color w:val="0A1B32"/>
          <w:sz w:val="27"/>
          <w:szCs w:val="27"/>
          <w:lang w:val="en-US" w:eastAsia="pl-PL"/>
        </w:rPr>
        <w:t>AR.</w:t>
      </w:r>
    </w:p>
    <w:p w:rsidR="00A9340B" w:rsidRPr="00754929" w:rsidRDefault="00A9340B" w:rsidP="000B4C4F">
      <w:pPr>
        <w:spacing w:after="100" w:afterAutospacing="1" w:line="240" w:lineRule="auto"/>
        <w:jc w:val="both"/>
        <w:rPr>
          <w:rFonts w:ascii="Helvetica" w:eastAsia="Times New Roman" w:hAnsi="Helvetica" w:cs="Helvetica"/>
          <w:i/>
          <w:color w:val="0A1B32"/>
          <w:sz w:val="27"/>
          <w:szCs w:val="27"/>
          <w:lang w:val="en-US" w:eastAsia="pl-PL"/>
        </w:rPr>
      </w:pPr>
      <w:hyperlink r:id="rId7" w:history="1">
        <w:r w:rsidRPr="00F61129">
          <w:rPr>
            <w:rStyle w:val="Hyperlink"/>
            <w:rFonts w:ascii="Helvetica" w:eastAsia="Times New Roman" w:hAnsi="Helvetica" w:cs="Helvetica"/>
            <w:i/>
            <w:sz w:val="27"/>
            <w:szCs w:val="27"/>
            <w:lang w:val="en-US" w:eastAsia="pl-PL"/>
          </w:rPr>
          <w:t>https://www.risk.net/risk-management/market-risk/2375185/hull-and-white-on-the-pros-and-cons-of-expected-shortfall</w:t>
        </w:r>
      </w:hyperlink>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 xml:space="preserve">12. What are the strengths and weaknesses of historical simulation, Monte-Carlo simulation, and Variance-Covariance method in </w:t>
      </w:r>
      <w:proofErr w:type="spellStart"/>
      <w:r w:rsidRPr="00754929">
        <w:rPr>
          <w:rFonts w:ascii="Helvetica" w:eastAsia="Times New Roman" w:hAnsi="Helvetica" w:cs="Helvetica"/>
          <w:b/>
          <w:color w:val="0A1B32"/>
          <w:sz w:val="27"/>
          <w:szCs w:val="27"/>
          <w:lang w:val="en-US" w:eastAsia="pl-PL"/>
        </w:rPr>
        <w:t>VaR</w:t>
      </w:r>
      <w:proofErr w:type="spellEnd"/>
      <w:r w:rsidRPr="00754929">
        <w:rPr>
          <w:rFonts w:ascii="Helvetica" w:eastAsia="Times New Roman" w:hAnsi="Helvetica" w:cs="Helvetica"/>
          <w:b/>
          <w:color w:val="0A1B32"/>
          <w:sz w:val="27"/>
          <w:szCs w:val="27"/>
          <w:lang w:val="en-US" w:eastAsia="pl-PL"/>
        </w:rPr>
        <w:t xml:space="preserve"> calculation?</w:t>
      </w:r>
    </w:p>
    <w:p w:rsidR="009445D6" w:rsidRPr="009445D6" w:rsidRDefault="009445D6" w:rsidP="009445D6">
      <w:pPr>
        <w:spacing w:after="100" w:afterAutospacing="1" w:line="240" w:lineRule="auto"/>
        <w:jc w:val="both"/>
        <w:rPr>
          <w:rFonts w:ascii="Helvetica" w:eastAsia="Times New Roman" w:hAnsi="Helvetica" w:cs="Helvetica"/>
          <w:i/>
          <w:color w:val="0A1B32"/>
          <w:sz w:val="27"/>
          <w:szCs w:val="27"/>
          <w:lang w:val="en-US" w:eastAsia="pl-PL"/>
        </w:rPr>
      </w:pPr>
      <w:r w:rsidRPr="009445D6">
        <w:rPr>
          <w:rFonts w:ascii="Helvetica" w:eastAsia="Times New Roman" w:hAnsi="Helvetica" w:cs="Helvetica"/>
          <w:i/>
          <w:color w:val="0A1B32"/>
          <w:sz w:val="27"/>
          <w:szCs w:val="27"/>
          <w:lang w:val="en-US" w:eastAsia="pl-PL"/>
        </w:rPr>
        <w:t>If We look at past crises we can see how a particular portfolio would have fared in these crises. Major drawback. History seldom repeats itself (but it does rhyme)</w:t>
      </w:r>
    </w:p>
    <w:p w:rsidR="009445D6" w:rsidRPr="009445D6" w:rsidRDefault="009445D6" w:rsidP="009445D6">
      <w:pPr>
        <w:spacing w:after="100" w:afterAutospacing="1" w:line="240" w:lineRule="auto"/>
        <w:jc w:val="both"/>
        <w:rPr>
          <w:rFonts w:ascii="Helvetica" w:eastAsia="Times New Roman" w:hAnsi="Helvetica" w:cs="Helvetica"/>
          <w:i/>
          <w:color w:val="0A1B32"/>
          <w:sz w:val="27"/>
          <w:szCs w:val="27"/>
          <w:lang w:val="en-US" w:eastAsia="pl-PL"/>
        </w:rPr>
      </w:pPr>
      <w:r w:rsidRPr="009445D6">
        <w:rPr>
          <w:rFonts w:ascii="Helvetica" w:eastAsia="Times New Roman" w:hAnsi="Helvetica" w:cs="Helvetica"/>
          <w:i/>
          <w:color w:val="0A1B32"/>
          <w:sz w:val="27"/>
          <w:szCs w:val="27"/>
          <w:lang w:val="en-US" w:eastAsia="pl-PL"/>
        </w:rPr>
        <w:t>With Monte Carlo we  do a large number of simulated tress tests but you have to have</w:t>
      </w:r>
      <w:r w:rsidR="00273282">
        <w:rPr>
          <w:rFonts w:ascii="Helvetica" w:eastAsia="Times New Roman" w:hAnsi="Helvetica" w:cs="Helvetica"/>
          <w:i/>
          <w:color w:val="0A1B32"/>
          <w:sz w:val="27"/>
          <w:szCs w:val="27"/>
          <w:lang w:val="en-US" w:eastAsia="pl-PL"/>
        </w:rPr>
        <w:t xml:space="preserve"> a decent kno</w:t>
      </w:r>
      <w:r w:rsidRPr="009445D6">
        <w:rPr>
          <w:rFonts w:ascii="Helvetica" w:eastAsia="Times New Roman" w:hAnsi="Helvetica" w:cs="Helvetica"/>
          <w:i/>
          <w:color w:val="0A1B32"/>
          <w:sz w:val="27"/>
          <w:szCs w:val="27"/>
          <w:lang w:val="en-US" w:eastAsia="pl-PL"/>
        </w:rPr>
        <w:t>wledge of the distributions of the stressors and their linkages.</w:t>
      </w:r>
    </w:p>
    <w:p w:rsidR="00A9340B" w:rsidRPr="00754929" w:rsidRDefault="009445D6" w:rsidP="00EC3B81">
      <w:pPr>
        <w:spacing w:after="100" w:afterAutospacing="1" w:line="240" w:lineRule="auto"/>
        <w:jc w:val="both"/>
        <w:rPr>
          <w:rFonts w:ascii="Helvetica" w:eastAsia="Times New Roman" w:hAnsi="Helvetica" w:cs="Helvetica"/>
          <w:i/>
          <w:color w:val="0A1B32"/>
          <w:sz w:val="27"/>
          <w:szCs w:val="27"/>
          <w:lang w:val="en-US" w:eastAsia="pl-PL"/>
        </w:rPr>
      </w:pPr>
      <w:r w:rsidRPr="009445D6">
        <w:rPr>
          <w:rFonts w:ascii="Helvetica" w:eastAsia="Times New Roman" w:hAnsi="Helvetica" w:cs="Helvetica"/>
          <w:i/>
          <w:color w:val="0A1B32"/>
          <w:sz w:val="27"/>
          <w:szCs w:val="27"/>
          <w:lang w:val="en-US" w:eastAsia="pl-PL"/>
        </w:rPr>
        <w:t xml:space="preserve">VCOV allows for inter-relationships in the returns however these </w:t>
      </w:r>
      <w:proofErr w:type="spellStart"/>
      <w:r w:rsidRPr="009445D6">
        <w:rPr>
          <w:rFonts w:ascii="Helvetica" w:eastAsia="Times New Roman" w:hAnsi="Helvetica" w:cs="Helvetica"/>
          <w:i/>
          <w:color w:val="0A1B32"/>
          <w:sz w:val="27"/>
          <w:szCs w:val="27"/>
          <w:lang w:val="en-US" w:eastAsia="pl-PL"/>
        </w:rPr>
        <w:t>covariances</w:t>
      </w:r>
      <w:proofErr w:type="spellEnd"/>
      <w:r w:rsidRPr="009445D6">
        <w:rPr>
          <w:rFonts w:ascii="Helvetica" w:eastAsia="Times New Roman" w:hAnsi="Helvetica" w:cs="Helvetica"/>
          <w:i/>
          <w:color w:val="0A1B32"/>
          <w:sz w:val="27"/>
          <w:szCs w:val="27"/>
          <w:lang w:val="en-US" w:eastAsia="pl-PL"/>
        </w:rPr>
        <w:t xml:space="preserve"> are usually no</w:t>
      </w:r>
      <w:r w:rsidR="00273282">
        <w:rPr>
          <w:rFonts w:ascii="Helvetica" w:eastAsia="Times New Roman" w:hAnsi="Helvetica" w:cs="Helvetica"/>
          <w:i/>
          <w:color w:val="0A1B32"/>
          <w:sz w:val="27"/>
          <w:szCs w:val="27"/>
          <w:lang w:val="en-US" w:eastAsia="pl-PL"/>
        </w:rPr>
        <w:t xml:space="preserve">t stable and Long term </w:t>
      </w:r>
      <w:proofErr w:type="spellStart"/>
      <w:r w:rsidR="00273282">
        <w:rPr>
          <w:rFonts w:ascii="Helvetica" w:eastAsia="Times New Roman" w:hAnsi="Helvetica" w:cs="Helvetica"/>
          <w:i/>
          <w:color w:val="0A1B32"/>
          <w:sz w:val="27"/>
          <w:szCs w:val="27"/>
          <w:lang w:val="en-US" w:eastAsia="pl-PL"/>
        </w:rPr>
        <w:t>covaria</w:t>
      </w:r>
      <w:r w:rsidRPr="009445D6">
        <w:rPr>
          <w:rFonts w:ascii="Helvetica" w:eastAsia="Times New Roman" w:hAnsi="Helvetica" w:cs="Helvetica"/>
          <w:i/>
          <w:color w:val="0A1B32"/>
          <w:sz w:val="27"/>
          <w:szCs w:val="27"/>
          <w:lang w:val="en-US" w:eastAsia="pl-PL"/>
        </w:rPr>
        <w:t>nces</w:t>
      </w:r>
      <w:proofErr w:type="spellEnd"/>
      <w:r w:rsidRPr="009445D6">
        <w:rPr>
          <w:rFonts w:ascii="Helvetica" w:eastAsia="Times New Roman" w:hAnsi="Helvetica" w:cs="Helvetica"/>
          <w:i/>
          <w:color w:val="0A1B32"/>
          <w:sz w:val="27"/>
          <w:szCs w:val="27"/>
          <w:lang w:val="en-US" w:eastAsia="pl-PL"/>
        </w:rPr>
        <w:t xml:space="preserve"> are typically smaller than short term </w:t>
      </w:r>
      <w:proofErr w:type="spellStart"/>
      <w:r w:rsidRPr="009445D6">
        <w:rPr>
          <w:rFonts w:ascii="Helvetica" w:eastAsia="Times New Roman" w:hAnsi="Helvetica" w:cs="Helvetica"/>
          <w:i/>
          <w:color w:val="0A1B32"/>
          <w:sz w:val="27"/>
          <w:szCs w:val="27"/>
          <w:lang w:val="en-US" w:eastAsia="pl-PL"/>
        </w:rPr>
        <w:t>covariances</w:t>
      </w:r>
      <w:proofErr w:type="spellEnd"/>
      <w:r w:rsidR="00273282">
        <w:rPr>
          <w:rFonts w:ascii="Helvetica" w:eastAsia="Times New Roman" w:hAnsi="Helvetica" w:cs="Helvetica"/>
          <w:i/>
          <w:color w:val="0A1B32"/>
          <w:sz w:val="27"/>
          <w:szCs w:val="27"/>
          <w:lang w:val="en-US" w:eastAsia="pl-PL"/>
        </w:rPr>
        <w:t>.</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13. What is expected shortfall?</w:t>
      </w:r>
    </w:p>
    <w:p w:rsidR="00A9340B" w:rsidRPr="00754929" w:rsidRDefault="00A9340B" w:rsidP="00754929">
      <w:pPr>
        <w:spacing w:after="100" w:afterAutospacing="1" w:line="240" w:lineRule="auto"/>
        <w:rPr>
          <w:rFonts w:ascii="Helvetica" w:eastAsia="Times New Roman" w:hAnsi="Helvetica" w:cs="Helvetica"/>
          <w:i/>
          <w:color w:val="0A1B32"/>
          <w:sz w:val="27"/>
          <w:szCs w:val="27"/>
          <w:lang w:val="en-US" w:eastAsia="pl-PL"/>
        </w:rPr>
      </w:pPr>
      <w:r w:rsidRPr="00A9340B">
        <w:rPr>
          <w:rFonts w:ascii="Helvetica" w:eastAsia="Times New Roman" w:hAnsi="Helvetica" w:cs="Helvetica"/>
          <w:i/>
          <w:color w:val="0A1B32"/>
          <w:sz w:val="27"/>
          <w:szCs w:val="27"/>
          <w:lang w:val="en-US" w:eastAsia="pl-PL"/>
        </w:rPr>
        <w:t>Point 11</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14. What is incremental default risk?</w:t>
      </w:r>
    </w:p>
    <w:p w:rsidR="00273282" w:rsidRDefault="00E757B3" w:rsidP="00754929">
      <w:pPr>
        <w:spacing w:after="100" w:afterAutospacing="1" w:line="240" w:lineRule="auto"/>
        <w:rPr>
          <w:rFonts w:ascii="Helvetica" w:eastAsia="Times New Roman" w:hAnsi="Helvetica" w:cs="Helvetica"/>
          <w:b/>
          <w:color w:val="0A1B32"/>
          <w:sz w:val="27"/>
          <w:szCs w:val="27"/>
          <w:lang w:val="en-US" w:eastAsia="pl-PL"/>
        </w:rPr>
      </w:pPr>
      <w:hyperlink r:id="rId8" w:history="1">
        <w:r w:rsidRPr="00F61129">
          <w:rPr>
            <w:rStyle w:val="Hyperlink"/>
            <w:rFonts w:ascii="Helvetica" w:eastAsia="Times New Roman" w:hAnsi="Helvetica" w:cs="Helvetica"/>
            <w:b/>
            <w:sz w:val="27"/>
            <w:szCs w:val="27"/>
            <w:lang w:val="en-US" w:eastAsia="pl-PL"/>
          </w:rPr>
          <w:t>https://www.eba.europa.eu/sites/default/documents/files/documents/10180/104828/938f9f0d-ec75-4874-9835-870e7cfda648/EBA-BS-2012-79--GL-on-IRC-.pdf?retry=1</w:t>
        </w:r>
      </w:hyperlink>
    </w:p>
    <w:p w:rsidR="00F71DCD" w:rsidRPr="00F71DCD" w:rsidRDefault="00F71DCD" w:rsidP="00F71DCD">
      <w:pPr>
        <w:spacing w:after="100" w:afterAutospacing="1" w:line="240" w:lineRule="auto"/>
        <w:jc w:val="both"/>
        <w:rPr>
          <w:rFonts w:ascii="Helvetica" w:eastAsia="Times New Roman" w:hAnsi="Helvetica" w:cs="Helvetica"/>
          <w:i/>
          <w:color w:val="0A1B32"/>
          <w:sz w:val="27"/>
          <w:szCs w:val="27"/>
          <w:lang w:val="en-US" w:eastAsia="pl-PL"/>
        </w:rPr>
      </w:pPr>
      <w:r w:rsidRPr="00F71DCD">
        <w:rPr>
          <w:rFonts w:ascii="Helvetica" w:eastAsia="Times New Roman" w:hAnsi="Helvetica" w:cs="Helvetica"/>
          <w:i/>
          <w:color w:val="0A1B32"/>
          <w:sz w:val="27"/>
          <w:szCs w:val="27"/>
          <w:lang w:val="en-US" w:eastAsia="pl-PL"/>
        </w:rPr>
        <w:t>Among these revisions was a new r</w:t>
      </w:r>
      <w:r>
        <w:rPr>
          <w:rFonts w:ascii="Helvetica" w:eastAsia="Times New Roman" w:hAnsi="Helvetica" w:cs="Helvetica"/>
          <w:i/>
          <w:color w:val="0A1B32"/>
          <w:sz w:val="27"/>
          <w:szCs w:val="27"/>
          <w:lang w:val="en-US" w:eastAsia="pl-PL"/>
        </w:rPr>
        <w:t xml:space="preserve">equirement for banks that model </w:t>
      </w:r>
      <w:r w:rsidRPr="00F71DCD">
        <w:rPr>
          <w:rFonts w:ascii="Helvetica" w:eastAsia="Times New Roman" w:hAnsi="Helvetica" w:cs="Helvetica"/>
          <w:i/>
          <w:color w:val="0A1B32"/>
          <w:sz w:val="27"/>
          <w:szCs w:val="27"/>
          <w:lang w:val="en-US" w:eastAsia="pl-PL"/>
        </w:rPr>
        <w:t>interest rate risk, to measure and hold capital against d</w:t>
      </w:r>
      <w:r>
        <w:rPr>
          <w:rFonts w:ascii="Helvetica" w:eastAsia="Times New Roman" w:hAnsi="Helvetica" w:cs="Helvetica"/>
          <w:i/>
          <w:color w:val="0A1B32"/>
          <w:sz w:val="27"/>
          <w:szCs w:val="27"/>
          <w:lang w:val="en-US" w:eastAsia="pl-PL"/>
        </w:rPr>
        <w:t xml:space="preserve">efault risk that is incremental </w:t>
      </w:r>
      <w:r w:rsidRPr="00F71DCD">
        <w:rPr>
          <w:rFonts w:ascii="Helvetica" w:eastAsia="Times New Roman" w:hAnsi="Helvetica" w:cs="Helvetica"/>
          <w:i/>
          <w:color w:val="0A1B32"/>
          <w:sz w:val="27"/>
          <w:szCs w:val="27"/>
          <w:lang w:val="en-US" w:eastAsia="pl-PL"/>
        </w:rPr>
        <w:t xml:space="preserve">to any default risk captured in the </w:t>
      </w:r>
      <w:proofErr w:type="spellStart"/>
      <w:r w:rsidRPr="00F71DCD">
        <w:rPr>
          <w:rFonts w:ascii="Helvetica" w:eastAsia="Times New Roman" w:hAnsi="Helvetica" w:cs="Helvetica"/>
          <w:i/>
          <w:color w:val="0A1B32"/>
          <w:sz w:val="27"/>
          <w:szCs w:val="27"/>
          <w:lang w:val="en-US" w:eastAsia="pl-PL"/>
        </w:rPr>
        <w:t>bank‟s</w:t>
      </w:r>
      <w:proofErr w:type="spellEnd"/>
      <w:r w:rsidRPr="00F71DCD">
        <w:rPr>
          <w:rFonts w:ascii="Helvetica" w:eastAsia="Times New Roman" w:hAnsi="Helvetica" w:cs="Helvetica"/>
          <w:i/>
          <w:color w:val="0A1B32"/>
          <w:sz w:val="27"/>
          <w:szCs w:val="27"/>
          <w:lang w:val="en-US" w:eastAsia="pl-PL"/>
        </w:rPr>
        <w:t xml:space="preserve"> value-at-ri</w:t>
      </w:r>
      <w:r>
        <w:rPr>
          <w:rFonts w:ascii="Helvetica" w:eastAsia="Times New Roman" w:hAnsi="Helvetica" w:cs="Helvetica"/>
          <w:i/>
          <w:color w:val="0A1B32"/>
          <w:sz w:val="27"/>
          <w:szCs w:val="27"/>
          <w:lang w:val="en-US" w:eastAsia="pl-PL"/>
        </w:rPr>
        <w:t>sk (</w:t>
      </w:r>
      <w:proofErr w:type="spellStart"/>
      <w:r>
        <w:rPr>
          <w:rFonts w:ascii="Helvetica" w:eastAsia="Times New Roman" w:hAnsi="Helvetica" w:cs="Helvetica"/>
          <w:i/>
          <w:color w:val="0A1B32"/>
          <w:sz w:val="27"/>
          <w:szCs w:val="27"/>
          <w:lang w:val="en-US" w:eastAsia="pl-PL"/>
        </w:rPr>
        <w:t>VaR</w:t>
      </w:r>
      <w:proofErr w:type="spellEnd"/>
      <w:r>
        <w:rPr>
          <w:rFonts w:ascii="Helvetica" w:eastAsia="Times New Roman" w:hAnsi="Helvetica" w:cs="Helvetica"/>
          <w:i/>
          <w:color w:val="0A1B32"/>
          <w:sz w:val="27"/>
          <w:szCs w:val="27"/>
          <w:lang w:val="en-US" w:eastAsia="pl-PL"/>
        </w:rPr>
        <w:t xml:space="preserve">) model. The incremental </w:t>
      </w:r>
      <w:r w:rsidRPr="00F71DCD">
        <w:rPr>
          <w:rFonts w:ascii="Helvetica" w:eastAsia="Times New Roman" w:hAnsi="Helvetica" w:cs="Helvetica"/>
          <w:i/>
          <w:color w:val="0A1B32"/>
          <w:sz w:val="27"/>
          <w:szCs w:val="27"/>
          <w:lang w:val="en-US" w:eastAsia="pl-PL"/>
        </w:rPr>
        <w:t xml:space="preserve">default risk charge was incorporated into the trading </w:t>
      </w:r>
      <w:r>
        <w:rPr>
          <w:rFonts w:ascii="Helvetica" w:eastAsia="Times New Roman" w:hAnsi="Helvetica" w:cs="Helvetica"/>
          <w:i/>
          <w:color w:val="0A1B32"/>
          <w:sz w:val="27"/>
          <w:szCs w:val="27"/>
          <w:lang w:val="en-US" w:eastAsia="pl-PL"/>
        </w:rPr>
        <w:t xml:space="preserve">book capital regime in response </w:t>
      </w:r>
      <w:r w:rsidRPr="00F71DCD">
        <w:rPr>
          <w:rFonts w:ascii="Helvetica" w:eastAsia="Times New Roman" w:hAnsi="Helvetica" w:cs="Helvetica"/>
          <w:i/>
          <w:color w:val="0A1B32"/>
          <w:sz w:val="27"/>
          <w:szCs w:val="27"/>
          <w:lang w:val="en-US" w:eastAsia="pl-PL"/>
        </w:rPr>
        <w:t>to the increasing amount of exposure in banks‟ trad</w:t>
      </w:r>
      <w:r>
        <w:rPr>
          <w:rFonts w:ascii="Helvetica" w:eastAsia="Times New Roman" w:hAnsi="Helvetica" w:cs="Helvetica"/>
          <w:i/>
          <w:color w:val="0A1B32"/>
          <w:sz w:val="27"/>
          <w:szCs w:val="27"/>
          <w:lang w:val="en-US" w:eastAsia="pl-PL"/>
        </w:rPr>
        <w:t xml:space="preserve">ing books to credit risk, often </w:t>
      </w:r>
      <w:r w:rsidRPr="00F71DCD">
        <w:rPr>
          <w:rFonts w:ascii="Helvetica" w:eastAsia="Times New Roman" w:hAnsi="Helvetica" w:cs="Helvetica"/>
          <w:i/>
          <w:color w:val="0A1B32"/>
          <w:sz w:val="27"/>
          <w:szCs w:val="27"/>
          <w:lang w:val="en-US" w:eastAsia="pl-PL"/>
        </w:rPr>
        <w:t xml:space="preserve">related to illiquid products, whose risk is not reflected in the </w:t>
      </w:r>
      <w:proofErr w:type="spellStart"/>
      <w:r w:rsidRPr="00F71DCD">
        <w:rPr>
          <w:rFonts w:ascii="Helvetica" w:eastAsia="Times New Roman" w:hAnsi="Helvetica" w:cs="Helvetica"/>
          <w:i/>
          <w:color w:val="0A1B32"/>
          <w:sz w:val="27"/>
          <w:szCs w:val="27"/>
          <w:lang w:val="en-US" w:eastAsia="pl-PL"/>
        </w:rPr>
        <w:t>VaR.</w:t>
      </w:r>
      <w:proofErr w:type="spellEnd"/>
    </w:p>
    <w:p w:rsidR="00F71DCD" w:rsidRPr="00F71DCD" w:rsidRDefault="00F71DCD" w:rsidP="00F71DCD">
      <w:pPr>
        <w:spacing w:after="100" w:afterAutospacing="1" w:line="240" w:lineRule="auto"/>
        <w:jc w:val="both"/>
        <w:rPr>
          <w:rFonts w:ascii="Helvetica" w:eastAsia="Times New Roman" w:hAnsi="Helvetica" w:cs="Helvetica"/>
          <w:i/>
          <w:color w:val="0A1B32"/>
          <w:sz w:val="27"/>
          <w:szCs w:val="27"/>
          <w:lang w:val="en-US" w:eastAsia="pl-PL"/>
        </w:rPr>
      </w:pPr>
      <w:r w:rsidRPr="00F71DCD">
        <w:rPr>
          <w:rFonts w:ascii="Helvetica" w:eastAsia="Times New Roman" w:hAnsi="Helvetica" w:cs="Helvetica"/>
          <w:i/>
          <w:color w:val="0A1B32"/>
          <w:sz w:val="27"/>
          <w:szCs w:val="27"/>
          <w:lang w:val="en-US" w:eastAsia="pl-PL"/>
        </w:rPr>
        <w:t>In October 2007, the BCBS released guidelines for co</w:t>
      </w:r>
      <w:r>
        <w:rPr>
          <w:rFonts w:ascii="Helvetica" w:eastAsia="Times New Roman" w:hAnsi="Helvetica" w:cs="Helvetica"/>
          <w:i/>
          <w:color w:val="0A1B32"/>
          <w:sz w:val="27"/>
          <w:szCs w:val="27"/>
          <w:lang w:val="en-US" w:eastAsia="pl-PL"/>
        </w:rPr>
        <w:t xml:space="preserve">mputing capital for incremental </w:t>
      </w:r>
      <w:r w:rsidRPr="00F71DCD">
        <w:rPr>
          <w:rFonts w:ascii="Helvetica" w:eastAsia="Times New Roman" w:hAnsi="Helvetica" w:cs="Helvetica"/>
          <w:i/>
          <w:color w:val="0A1B32"/>
          <w:sz w:val="27"/>
          <w:szCs w:val="27"/>
          <w:lang w:val="en-US" w:eastAsia="pl-PL"/>
        </w:rPr>
        <w:t xml:space="preserve">default risk for public comment. At its meeting in </w:t>
      </w:r>
      <w:r>
        <w:rPr>
          <w:rFonts w:ascii="Helvetica" w:eastAsia="Times New Roman" w:hAnsi="Helvetica" w:cs="Helvetica"/>
          <w:i/>
          <w:color w:val="0A1B32"/>
          <w:sz w:val="27"/>
          <w:szCs w:val="27"/>
          <w:lang w:val="en-US" w:eastAsia="pl-PL"/>
        </w:rPr>
        <w:t xml:space="preserve">March 2008, the Basel Committee </w:t>
      </w:r>
      <w:r w:rsidRPr="00F71DCD">
        <w:rPr>
          <w:rFonts w:ascii="Helvetica" w:eastAsia="Times New Roman" w:hAnsi="Helvetica" w:cs="Helvetica"/>
          <w:i/>
          <w:color w:val="0A1B32"/>
          <w:sz w:val="27"/>
          <w:szCs w:val="27"/>
          <w:lang w:val="en-US" w:eastAsia="pl-PL"/>
        </w:rPr>
        <w:t>reviewed comments received and decided to expand the scope of the capital charge.</w:t>
      </w:r>
    </w:p>
    <w:p w:rsidR="00F71DCD" w:rsidRPr="00F71DCD" w:rsidRDefault="00F71DCD" w:rsidP="00F71DCD">
      <w:pPr>
        <w:spacing w:after="100" w:afterAutospacing="1" w:line="240" w:lineRule="auto"/>
        <w:jc w:val="both"/>
        <w:rPr>
          <w:rFonts w:ascii="Helvetica" w:eastAsia="Times New Roman" w:hAnsi="Helvetica" w:cs="Helvetica"/>
          <w:i/>
          <w:color w:val="0A1B32"/>
          <w:sz w:val="27"/>
          <w:szCs w:val="27"/>
          <w:lang w:val="en-US" w:eastAsia="pl-PL"/>
        </w:rPr>
      </w:pPr>
      <w:r w:rsidRPr="00F71DCD">
        <w:rPr>
          <w:rFonts w:ascii="Helvetica" w:eastAsia="Times New Roman" w:hAnsi="Helvetica" w:cs="Helvetica"/>
          <w:i/>
          <w:color w:val="0A1B32"/>
          <w:sz w:val="27"/>
          <w:szCs w:val="27"/>
          <w:lang w:val="en-US" w:eastAsia="pl-PL"/>
        </w:rPr>
        <w:t>The decision was taken in light of the recent credi</w:t>
      </w:r>
      <w:r>
        <w:rPr>
          <w:rFonts w:ascii="Helvetica" w:eastAsia="Times New Roman" w:hAnsi="Helvetica" w:cs="Helvetica"/>
          <w:i/>
          <w:color w:val="0A1B32"/>
          <w:sz w:val="27"/>
          <w:szCs w:val="27"/>
          <w:lang w:val="en-US" w:eastAsia="pl-PL"/>
        </w:rPr>
        <w:t xml:space="preserve">t market turmoil where a number </w:t>
      </w:r>
      <w:r w:rsidRPr="00F71DCD">
        <w:rPr>
          <w:rFonts w:ascii="Helvetica" w:eastAsia="Times New Roman" w:hAnsi="Helvetica" w:cs="Helvetica"/>
          <w:i/>
          <w:color w:val="0A1B32"/>
          <w:sz w:val="27"/>
          <w:szCs w:val="27"/>
          <w:lang w:val="en-US" w:eastAsia="pl-PL"/>
        </w:rPr>
        <w:t>of major banking institutions had experienced l</w:t>
      </w:r>
      <w:r>
        <w:rPr>
          <w:rFonts w:ascii="Helvetica" w:eastAsia="Times New Roman" w:hAnsi="Helvetica" w:cs="Helvetica"/>
          <w:i/>
          <w:color w:val="0A1B32"/>
          <w:sz w:val="27"/>
          <w:szCs w:val="27"/>
          <w:lang w:val="en-US" w:eastAsia="pl-PL"/>
        </w:rPr>
        <w:t xml:space="preserve">arge losses, most of which were </w:t>
      </w:r>
      <w:r w:rsidRPr="00F71DCD">
        <w:rPr>
          <w:rFonts w:ascii="Helvetica" w:eastAsia="Times New Roman" w:hAnsi="Helvetica" w:cs="Helvetica"/>
          <w:i/>
          <w:color w:val="0A1B32"/>
          <w:sz w:val="27"/>
          <w:szCs w:val="27"/>
          <w:lang w:val="en-US" w:eastAsia="pl-PL"/>
        </w:rPr>
        <w:t xml:space="preserve">sustained in the banks‟ trading books. Most of those </w:t>
      </w:r>
      <w:r>
        <w:rPr>
          <w:rFonts w:ascii="Helvetica" w:eastAsia="Times New Roman" w:hAnsi="Helvetica" w:cs="Helvetica"/>
          <w:i/>
          <w:color w:val="0A1B32"/>
          <w:sz w:val="27"/>
          <w:szCs w:val="27"/>
          <w:lang w:val="en-US" w:eastAsia="pl-PL"/>
        </w:rPr>
        <w:t xml:space="preserve">losses were not captured in the </w:t>
      </w:r>
      <w:r w:rsidRPr="00F71DCD">
        <w:rPr>
          <w:rFonts w:ascii="Helvetica" w:eastAsia="Times New Roman" w:hAnsi="Helvetica" w:cs="Helvetica"/>
          <w:i/>
          <w:color w:val="0A1B32"/>
          <w:sz w:val="27"/>
          <w:szCs w:val="27"/>
          <w:lang w:val="en-US" w:eastAsia="pl-PL"/>
        </w:rPr>
        <w:t xml:space="preserve">99%/10-day </w:t>
      </w:r>
      <w:proofErr w:type="spellStart"/>
      <w:r w:rsidRPr="00F71DCD">
        <w:rPr>
          <w:rFonts w:ascii="Helvetica" w:eastAsia="Times New Roman" w:hAnsi="Helvetica" w:cs="Helvetica"/>
          <w:i/>
          <w:color w:val="0A1B32"/>
          <w:sz w:val="27"/>
          <w:szCs w:val="27"/>
          <w:lang w:val="en-US" w:eastAsia="pl-PL"/>
        </w:rPr>
        <w:t>VaR.</w:t>
      </w:r>
      <w:proofErr w:type="spellEnd"/>
      <w:r w:rsidRPr="00F71DCD">
        <w:rPr>
          <w:rFonts w:ascii="Helvetica" w:eastAsia="Times New Roman" w:hAnsi="Helvetica" w:cs="Helvetica"/>
          <w:i/>
          <w:color w:val="0A1B32"/>
          <w:sz w:val="27"/>
          <w:szCs w:val="27"/>
          <w:lang w:val="en-US" w:eastAsia="pl-PL"/>
        </w:rPr>
        <w:t xml:space="preserve"> Since observed losses had not a</w:t>
      </w:r>
      <w:r>
        <w:rPr>
          <w:rFonts w:ascii="Helvetica" w:eastAsia="Times New Roman" w:hAnsi="Helvetica" w:cs="Helvetica"/>
          <w:i/>
          <w:color w:val="0A1B32"/>
          <w:sz w:val="27"/>
          <w:szCs w:val="27"/>
          <w:lang w:val="en-US" w:eastAsia="pl-PL"/>
        </w:rPr>
        <w:t xml:space="preserve">risen </w:t>
      </w:r>
      <w:r>
        <w:rPr>
          <w:rFonts w:ascii="Helvetica" w:eastAsia="Times New Roman" w:hAnsi="Helvetica" w:cs="Helvetica"/>
          <w:i/>
          <w:color w:val="0A1B32"/>
          <w:sz w:val="27"/>
          <w:szCs w:val="27"/>
          <w:lang w:val="en-US" w:eastAsia="pl-PL"/>
        </w:rPr>
        <w:lastRenderedPageBreak/>
        <w:t xml:space="preserve">from actual defaults, but </w:t>
      </w:r>
      <w:r w:rsidRPr="00F71DCD">
        <w:rPr>
          <w:rFonts w:ascii="Helvetica" w:eastAsia="Times New Roman" w:hAnsi="Helvetica" w:cs="Helvetica"/>
          <w:i/>
          <w:color w:val="0A1B32"/>
          <w:sz w:val="27"/>
          <w:szCs w:val="27"/>
          <w:lang w:val="en-US" w:eastAsia="pl-PL"/>
        </w:rPr>
        <w:t>rather from credit migrations combined with a wid</w:t>
      </w:r>
      <w:r w:rsidR="00317B89">
        <w:rPr>
          <w:rFonts w:ascii="Helvetica" w:eastAsia="Times New Roman" w:hAnsi="Helvetica" w:cs="Helvetica"/>
          <w:i/>
          <w:color w:val="0A1B32"/>
          <w:sz w:val="27"/>
          <w:szCs w:val="27"/>
          <w:lang w:val="en-US" w:eastAsia="pl-PL"/>
        </w:rPr>
        <w:t xml:space="preserve">ening of credit spreads and the </w:t>
      </w:r>
      <w:r w:rsidRPr="00F71DCD">
        <w:rPr>
          <w:rFonts w:ascii="Helvetica" w:eastAsia="Times New Roman" w:hAnsi="Helvetica" w:cs="Helvetica"/>
          <w:i/>
          <w:color w:val="0A1B32"/>
          <w:sz w:val="27"/>
          <w:szCs w:val="27"/>
          <w:lang w:val="en-US" w:eastAsia="pl-PL"/>
        </w:rPr>
        <w:t>loss of liquidity, applying an incremental risk charge covering default risk only, did</w:t>
      </w:r>
      <w:r>
        <w:rPr>
          <w:rFonts w:ascii="Helvetica" w:eastAsia="Times New Roman" w:hAnsi="Helvetica" w:cs="Helvetica"/>
          <w:i/>
          <w:color w:val="0A1B32"/>
          <w:sz w:val="27"/>
          <w:szCs w:val="27"/>
          <w:lang w:val="en-US" w:eastAsia="pl-PL"/>
        </w:rPr>
        <w:t xml:space="preserve"> </w:t>
      </w:r>
      <w:r w:rsidRPr="00F71DCD">
        <w:rPr>
          <w:rFonts w:ascii="Helvetica" w:eastAsia="Times New Roman" w:hAnsi="Helvetica" w:cs="Helvetica"/>
          <w:i/>
          <w:color w:val="0A1B32"/>
          <w:sz w:val="27"/>
          <w:szCs w:val="27"/>
          <w:lang w:val="en-US" w:eastAsia="pl-PL"/>
        </w:rPr>
        <w:t>not appear to be</w:t>
      </w:r>
      <w:r>
        <w:rPr>
          <w:rFonts w:ascii="Helvetica" w:eastAsia="Times New Roman" w:hAnsi="Helvetica" w:cs="Helvetica"/>
          <w:i/>
          <w:color w:val="0A1B32"/>
          <w:sz w:val="27"/>
          <w:szCs w:val="27"/>
          <w:lang w:val="en-US" w:eastAsia="pl-PL"/>
        </w:rPr>
        <w:t xml:space="preserve"> </w:t>
      </w:r>
      <w:r w:rsidRPr="00F71DCD">
        <w:rPr>
          <w:rFonts w:ascii="Helvetica" w:eastAsia="Times New Roman" w:hAnsi="Helvetica" w:cs="Helvetica"/>
          <w:i/>
          <w:color w:val="0A1B32"/>
          <w:sz w:val="27"/>
          <w:szCs w:val="27"/>
          <w:lang w:val="en-US" w:eastAsia="pl-PL"/>
        </w:rPr>
        <w:t>sufficient.</w:t>
      </w:r>
    </w:p>
    <w:p w:rsidR="00E757B3" w:rsidRPr="00754929" w:rsidRDefault="00F71DCD" w:rsidP="00F71DCD">
      <w:pPr>
        <w:spacing w:after="100" w:afterAutospacing="1" w:line="240" w:lineRule="auto"/>
        <w:jc w:val="both"/>
        <w:rPr>
          <w:rFonts w:ascii="Helvetica" w:eastAsia="Times New Roman" w:hAnsi="Helvetica" w:cs="Helvetica"/>
          <w:b/>
          <w:color w:val="0A1B32"/>
          <w:sz w:val="27"/>
          <w:szCs w:val="27"/>
          <w:lang w:val="en-US" w:eastAsia="pl-PL"/>
        </w:rPr>
      </w:pPr>
      <w:r w:rsidRPr="00F71DCD">
        <w:rPr>
          <w:rFonts w:ascii="Helvetica" w:eastAsia="Times New Roman" w:hAnsi="Helvetica" w:cs="Helvetica"/>
          <w:i/>
          <w:color w:val="0A1B32"/>
          <w:sz w:val="27"/>
          <w:szCs w:val="27"/>
          <w:lang w:val="en-US" w:eastAsia="pl-PL"/>
        </w:rPr>
        <w:t>In January 2009, the BCBS proposed supplementin</w:t>
      </w:r>
      <w:r>
        <w:rPr>
          <w:rFonts w:ascii="Helvetica" w:eastAsia="Times New Roman" w:hAnsi="Helvetica" w:cs="Helvetica"/>
          <w:i/>
          <w:color w:val="0A1B32"/>
          <w:sz w:val="27"/>
          <w:szCs w:val="27"/>
          <w:lang w:val="en-US" w:eastAsia="pl-PL"/>
        </w:rPr>
        <w:t xml:space="preserve">g the current </w:t>
      </w:r>
      <w:proofErr w:type="spellStart"/>
      <w:r>
        <w:rPr>
          <w:rFonts w:ascii="Helvetica" w:eastAsia="Times New Roman" w:hAnsi="Helvetica" w:cs="Helvetica"/>
          <w:i/>
          <w:color w:val="0A1B32"/>
          <w:sz w:val="27"/>
          <w:szCs w:val="27"/>
          <w:lang w:val="en-US" w:eastAsia="pl-PL"/>
        </w:rPr>
        <w:t>VaR</w:t>
      </w:r>
      <w:proofErr w:type="spellEnd"/>
      <w:r>
        <w:rPr>
          <w:rFonts w:ascii="Helvetica" w:eastAsia="Times New Roman" w:hAnsi="Helvetica" w:cs="Helvetica"/>
          <w:i/>
          <w:color w:val="0A1B32"/>
          <w:sz w:val="27"/>
          <w:szCs w:val="27"/>
          <w:lang w:val="en-US" w:eastAsia="pl-PL"/>
        </w:rPr>
        <w:t xml:space="preserve">-based trading </w:t>
      </w:r>
      <w:r w:rsidRPr="00F71DCD">
        <w:rPr>
          <w:rFonts w:ascii="Helvetica" w:eastAsia="Times New Roman" w:hAnsi="Helvetica" w:cs="Helvetica"/>
          <w:i/>
          <w:color w:val="0A1B32"/>
          <w:sz w:val="27"/>
          <w:szCs w:val="27"/>
          <w:lang w:val="en-US" w:eastAsia="pl-PL"/>
        </w:rPr>
        <w:t xml:space="preserve">book framework with, among other measures, an </w:t>
      </w:r>
      <w:r>
        <w:rPr>
          <w:rFonts w:ascii="Helvetica" w:eastAsia="Times New Roman" w:hAnsi="Helvetica" w:cs="Helvetica"/>
          <w:i/>
          <w:color w:val="0A1B32"/>
          <w:sz w:val="27"/>
          <w:szCs w:val="27"/>
          <w:lang w:val="en-US" w:eastAsia="pl-PL"/>
        </w:rPr>
        <w:t xml:space="preserve">incremental risk capital charge </w:t>
      </w:r>
      <w:r w:rsidRPr="00F71DCD">
        <w:rPr>
          <w:rFonts w:ascii="Helvetica" w:eastAsia="Times New Roman" w:hAnsi="Helvetica" w:cs="Helvetica"/>
          <w:i/>
          <w:color w:val="0A1B32"/>
          <w:sz w:val="27"/>
          <w:szCs w:val="27"/>
          <w:lang w:val="en-US" w:eastAsia="pl-PL"/>
        </w:rPr>
        <w:t>(IRC), which covers default risk as well as migratio</w:t>
      </w:r>
      <w:r>
        <w:rPr>
          <w:rFonts w:ascii="Helvetica" w:eastAsia="Times New Roman" w:hAnsi="Helvetica" w:cs="Helvetica"/>
          <w:i/>
          <w:color w:val="0A1B32"/>
          <w:sz w:val="27"/>
          <w:szCs w:val="27"/>
          <w:lang w:val="en-US" w:eastAsia="pl-PL"/>
        </w:rPr>
        <w:t xml:space="preserve">n risk for </w:t>
      </w:r>
      <w:proofErr w:type="spellStart"/>
      <w:r>
        <w:rPr>
          <w:rFonts w:ascii="Helvetica" w:eastAsia="Times New Roman" w:hAnsi="Helvetica" w:cs="Helvetica"/>
          <w:i/>
          <w:color w:val="0A1B32"/>
          <w:sz w:val="27"/>
          <w:szCs w:val="27"/>
          <w:lang w:val="en-US" w:eastAsia="pl-PL"/>
        </w:rPr>
        <w:t>unsecuritised</w:t>
      </w:r>
      <w:proofErr w:type="spellEnd"/>
      <w:r>
        <w:rPr>
          <w:rFonts w:ascii="Helvetica" w:eastAsia="Times New Roman" w:hAnsi="Helvetica" w:cs="Helvetica"/>
          <w:i/>
          <w:color w:val="0A1B32"/>
          <w:sz w:val="27"/>
          <w:szCs w:val="27"/>
          <w:lang w:val="en-US" w:eastAsia="pl-PL"/>
        </w:rPr>
        <w:t xml:space="preserve"> credit </w:t>
      </w:r>
      <w:r w:rsidRPr="00F71DCD">
        <w:rPr>
          <w:rFonts w:ascii="Helvetica" w:eastAsia="Times New Roman" w:hAnsi="Helvetica" w:cs="Helvetica"/>
          <w:i/>
          <w:color w:val="0A1B32"/>
          <w:sz w:val="27"/>
          <w:szCs w:val="27"/>
          <w:lang w:val="en-US" w:eastAsia="pl-PL"/>
        </w:rPr>
        <w:t xml:space="preserve">products and a stressed value-at-risk (Stressed </w:t>
      </w:r>
      <w:proofErr w:type="spellStart"/>
      <w:r w:rsidRPr="00F71DCD">
        <w:rPr>
          <w:rFonts w:ascii="Helvetica" w:eastAsia="Times New Roman" w:hAnsi="Helvetica" w:cs="Helvetica"/>
          <w:i/>
          <w:color w:val="0A1B32"/>
          <w:sz w:val="27"/>
          <w:szCs w:val="27"/>
          <w:lang w:val="en-US" w:eastAsia="pl-PL"/>
        </w:rPr>
        <w:t>VaR</w:t>
      </w:r>
      <w:proofErr w:type="spellEnd"/>
      <w:r w:rsidRPr="00F71DCD">
        <w:rPr>
          <w:rFonts w:ascii="Helvetica" w:eastAsia="Times New Roman" w:hAnsi="Helvetica" w:cs="Helvetica"/>
          <w:i/>
          <w:color w:val="0A1B32"/>
          <w:sz w:val="27"/>
          <w:szCs w:val="27"/>
          <w:lang w:val="en-US" w:eastAsia="pl-PL"/>
        </w:rPr>
        <w:t>)</w:t>
      </w:r>
      <w:r w:rsidRPr="00F71DCD">
        <w:rPr>
          <w:rFonts w:ascii="Helvetica" w:eastAsia="Times New Roman" w:hAnsi="Helvetica" w:cs="Helvetica"/>
          <w:b/>
          <w:color w:val="0A1B32"/>
          <w:sz w:val="27"/>
          <w:szCs w:val="27"/>
          <w:lang w:val="en-US" w:eastAsia="pl-PL"/>
        </w:rPr>
        <w:t>.</w:t>
      </w:r>
    </w:p>
    <w:p w:rsidR="00754929" w:rsidRPr="00754929" w:rsidRDefault="00754929" w:rsidP="00552F35">
      <w:pPr>
        <w:spacing w:after="100" w:afterAutospacing="1" w:line="240" w:lineRule="auto"/>
        <w:jc w:val="center"/>
        <w:outlineLvl w:val="2"/>
        <w:rPr>
          <w:rFonts w:ascii="Helvetica" w:eastAsia="Times New Roman" w:hAnsi="Helvetica" w:cs="Helvetica"/>
          <w:b/>
          <w:color w:val="0A1B32"/>
          <w:sz w:val="27"/>
          <w:szCs w:val="27"/>
          <w:lang w:val="en-US" w:eastAsia="pl-PL"/>
        </w:rPr>
      </w:pPr>
      <w:r w:rsidRPr="00922D64">
        <w:rPr>
          <w:rFonts w:ascii="Helvetica" w:eastAsia="Times New Roman" w:hAnsi="Helvetica" w:cs="Helvetica"/>
          <w:b/>
          <w:bCs/>
          <w:color w:val="0A1B32"/>
          <w:sz w:val="27"/>
          <w:szCs w:val="27"/>
          <w:lang w:val="en-US" w:eastAsia="pl-PL"/>
        </w:rPr>
        <w:t>Questions on the yield curve:</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15. What are the uses of the yield curve?</w:t>
      </w:r>
    </w:p>
    <w:p w:rsidR="00B55BD8" w:rsidRDefault="00B55BD8" w:rsidP="00B55BD8">
      <w:pPr>
        <w:jc w:val="both"/>
        <w:rPr>
          <w:rFonts w:ascii="Helvetica" w:eastAsia="Times New Roman" w:hAnsi="Helvetica" w:cs="Helvetica"/>
          <w:i/>
          <w:color w:val="0A1B32"/>
          <w:sz w:val="27"/>
          <w:szCs w:val="27"/>
          <w:lang w:val="en-US" w:eastAsia="pl-PL"/>
        </w:rPr>
      </w:pPr>
      <w:r w:rsidRPr="00B55BD8">
        <w:rPr>
          <w:rFonts w:ascii="Helvetica" w:eastAsia="Times New Roman" w:hAnsi="Helvetica" w:cs="Helvetica"/>
          <w:i/>
          <w:color w:val="0A1B32"/>
          <w:sz w:val="27"/>
          <w:szCs w:val="27"/>
          <w:lang w:val="en-US" w:eastAsia="pl-PL"/>
        </w:rPr>
        <w:t>Investors can use the yield curve to make predictions on where the economy might be headed and use this information to make their investment decisions. If the bond yield curve indicates an economic slowdown might be on the horizon, investors might move their money into defensive assets that traditionally do well during recessionary times, such as consumer staples. If the yield curve becomes steep, this might be a sign of future inflation. In this scenario, investors might avoid long-term bonds with a yield that will erode against increased prices.</w:t>
      </w:r>
    </w:p>
    <w:p w:rsidR="00B55BD8" w:rsidRPr="00B55BD8" w:rsidRDefault="00B55BD8" w:rsidP="00B55BD8">
      <w:pPr>
        <w:jc w:val="both"/>
        <w:rPr>
          <w:rFonts w:ascii="Helvetica" w:eastAsia="Times New Roman" w:hAnsi="Helvetica" w:cs="Helvetica"/>
          <w:i/>
          <w:color w:val="0A1B32"/>
          <w:sz w:val="27"/>
          <w:szCs w:val="27"/>
          <w:lang w:val="en-US" w:eastAsia="pl-PL"/>
        </w:rPr>
      </w:pPr>
      <w:r w:rsidRPr="00B55BD8">
        <w:rPr>
          <w:rFonts w:ascii="Helvetica" w:eastAsia="Times New Roman" w:hAnsi="Helvetica" w:cs="Helvetica"/>
          <w:i/>
          <w:color w:val="0A1B32"/>
          <w:sz w:val="27"/>
          <w:szCs w:val="27"/>
          <w:lang w:val="en-US" w:eastAsia="pl-PL"/>
        </w:rPr>
        <w:t>In addition to using the shape of the Treasury yield curve to help determine the current and future strength of the economy, the Treasury yield curve occupies a special place compared to all other yield curves as it is generally regarded as the "benchmark curve." Yields on Treasury bonds and other securities are generally among the lowest because they’re backed by the full faith and credit of the US government. This allows bond investors to compare the Treasury yield curve with that of riskier assets such as the yield curve of Agency bonds or A-rated corporate bonds for example. The yield difference between the two is referred to as the "spread." The closer the yields are together the more confident investors are in taking the risk in a bond that is not government-backed. The spread generally widens during recessions and contracts during recoveries.</w:t>
      </w:r>
    </w:p>
    <w:p w:rsidR="00B55BD8" w:rsidRPr="00B55BD8" w:rsidRDefault="00B55BD8" w:rsidP="00B55BD8">
      <w:pPr>
        <w:jc w:val="both"/>
        <w:rPr>
          <w:rFonts w:ascii="Helvetica" w:eastAsia="Times New Roman" w:hAnsi="Helvetica" w:cs="Helvetica"/>
          <w:i/>
          <w:color w:val="0A1B32"/>
          <w:sz w:val="27"/>
          <w:szCs w:val="27"/>
          <w:lang w:val="en-US" w:eastAsia="pl-PL"/>
        </w:rPr>
      </w:pPr>
      <w:r w:rsidRPr="00B55BD8">
        <w:rPr>
          <w:rFonts w:ascii="Helvetica" w:eastAsia="Times New Roman" w:hAnsi="Helvetica" w:cs="Helvetica"/>
          <w:i/>
          <w:color w:val="0A1B32"/>
          <w:sz w:val="27"/>
          <w:szCs w:val="27"/>
          <w:lang w:val="en-US" w:eastAsia="pl-PL"/>
        </w:rPr>
        <w:t>The slope of the yield curve is critical for financial intermediaries, especially commercial banks, savings and loan associations, and savings banks. A rising yield curve is generally favorable for the these institutions because they borrow most of their funds by selling short- term deposits and lend a major po</w:t>
      </w:r>
      <w:r w:rsidR="00015128">
        <w:rPr>
          <w:rFonts w:ascii="Helvetica" w:eastAsia="Times New Roman" w:hAnsi="Helvetica" w:cs="Helvetica"/>
          <w:i/>
          <w:color w:val="0A1B32"/>
          <w:sz w:val="27"/>
          <w:szCs w:val="27"/>
          <w:lang w:val="en-US" w:eastAsia="pl-PL"/>
        </w:rPr>
        <w:t>rtion of those funds long term.</w:t>
      </w:r>
    </w:p>
    <w:p w:rsidR="00B55BD8" w:rsidRPr="00B55BD8" w:rsidRDefault="00B55BD8" w:rsidP="00B55BD8">
      <w:pPr>
        <w:jc w:val="both"/>
        <w:rPr>
          <w:rFonts w:ascii="Helvetica" w:eastAsia="Times New Roman" w:hAnsi="Helvetica" w:cs="Helvetica"/>
          <w:i/>
          <w:color w:val="0A1B32"/>
          <w:sz w:val="27"/>
          <w:szCs w:val="27"/>
          <w:lang w:val="en-US" w:eastAsia="pl-PL"/>
        </w:rPr>
      </w:pPr>
      <w:r w:rsidRPr="00B55BD8">
        <w:rPr>
          <w:rFonts w:ascii="Helvetica" w:eastAsia="Times New Roman" w:hAnsi="Helvetica" w:cs="Helvetica"/>
          <w:i/>
          <w:color w:val="0A1B32"/>
          <w:sz w:val="27"/>
          <w:szCs w:val="27"/>
          <w:lang w:val="en-US" w:eastAsia="pl-PL"/>
        </w:rPr>
        <w:t xml:space="preserve">The more steeply the yield curve slopes upward, the wider the spread between borrowing and lending rates and the greater the potential profit for a financial intermediary. However, if the yield curve begins to flatten out or </w:t>
      </w:r>
      <w:r w:rsidRPr="00B55BD8">
        <w:rPr>
          <w:rFonts w:ascii="Helvetica" w:eastAsia="Times New Roman" w:hAnsi="Helvetica" w:cs="Helvetica"/>
          <w:i/>
          <w:color w:val="0A1B32"/>
          <w:sz w:val="27"/>
          <w:szCs w:val="27"/>
          <w:lang w:val="en-US" w:eastAsia="pl-PL"/>
        </w:rPr>
        <w:lastRenderedPageBreak/>
        <w:t>slope downward, this should serve as a warning signal to portfolio managers of these institutions.</w:t>
      </w:r>
    </w:p>
    <w:p w:rsidR="00B55BD8" w:rsidRPr="00B55BD8" w:rsidRDefault="00B55BD8" w:rsidP="00B55BD8">
      <w:pPr>
        <w:jc w:val="both"/>
        <w:rPr>
          <w:rFonts w:ascii="Helvetica" w:eastAsia="Times New Roman" w:hAnsi="Helvetica" w:cs="Helvetica"/>
          <w:i/>
          <w:color w:val="0A1B32"/>
          <w:sz w:val="27"/>
          <w:szCs w:val="27"/>
          <w:lang w:val="en-US" w:eastAsia="pl-PL"/>
        </w:rPr>
      </w:pPr>
    </w:p>
    <w:p w:rsidR="00B55BD8" w:rsidRPr="00B55BD8" w:rsidRDefault="00B55BD8" w:rsidP="00B55BD8">
      <w:pPr>
        <w:jc w:val="both"/>
        <w:rPr>
          <w:rFonts w:ascii="Helvetica" w:eastAsia="Times New Roman" w:hAnsi="Helvetica" w:cs="Helvetica"/>
          <w:i/>
          <w:color w:val="0A1B32"/>
          <w:sz w:val="27"/>
          <w:szCs w:val="27"/>
          <w:lang w:val="en-US" w:eastAsia="pl-PL"/>
        </w:rPr>
      </w:pPr>
      <w:r w:rsidRPr="00B55BD8">
        <w:rPr>
          <w:rFonts w:ascii="Helvetica" w:eastAsia="Times New Roman" w:hAnsi="Helvetica" w:cs="Helvetica"/>
          <w:i/>
          <w:color w:val="0A1B32"/>
          <w:sz w:val="27"/>
          <w:szCs w:val="27"/>
          <w:lang w:val="en-US" w:eastAsia="pl-PL"/>
        </w:rPr>
        <w:t xml:space="preserve">A flattening or downward-sloping yield curve squeezes </w:t>
      </w:r>
      <w:r>
        <w:rPr>
          <w:rFonts w:ascii="Helvetica" w:eastAsia="Times New Roman" w:hAnsi="Helvetica" w:cs="Helvetica"/>
          <w:i/>
          <w:color w:val="0A1B32"/>
          <w:sz w:val="27"/>
          <w:szCs w:val="27"/>
          <w:lang w:val="en-US" w:eastAsia="pl-PL"/>
        </w:rPr>
        <w:t>the earnings of financial inter</w:t>
      </w:r>
      <w:r w:rsidRPr="00B55BD8">
        <w:rPr>
          <w:rFonts w:ascii="Helvetica" w:eastAsia="Times New Roman" w:hAnsi="Helvetica" w:cs="Helvetica"/>
          <w:i/>
          <w:color w:val="0A1B32"/>
          <w:sz w:val="27"/>
          <w:szCs w:val="27"/>
          <w:lang w:val="en-US" w:eastAsia="pl-PL"/>
        </w:rPr>
        <w:t>mediaries and calls for an entirely different portfolio-management strateg</w:t>
      </w:r>
      <w:r>
        <w:rPr>
          <w:rFonts w:ascii="Helvetica" w:eastAsia="Times New Roman" w:hAnsi="Helvetica" w:cs="Helvetica"/>
          <w:i/>
          <w:color w:val="0A1B32"/>
          <w:sz w:val="27"/>
          <w:szCs w:val="27"/>
          <w:lang w:val="en-US" w:eastAsia="pl-PL"/>
        </w:rPr>
        <w:t>y than an upward-sloping curve.</w:t>
      </w:r>
    </w:p>
    <w:p w:rsidR="00B55BD8" w:rsidRPr="00B55BD8" w:rsidRDefault="00B55BD8" w:rsidP="00B55BD8">
      <w:pPr>
        <w:jc w:val="both"/>
        <w:rPr>
          <w:rFonts w:ascii="Helvetica" w:eastAsia="Times New Roman" w:hAnsi="Helvetica" w:cs="Helvetica"/>
          <w:i/>
          <w:color w:val="0A1B32"/>
          <w:sz w:val="27"/>
          <w:szCs w:val="27"/>
          <w:lang w:val="en-US" w:eastAsia="pl-PL"/>
        </w:rPr>
      </w:pPr>
      <w:r w:rsidRPr="00B55BD8">
        <w:rPr>
          <w:rFonts w:ascii="Helvetica" w:eastAsia="Times New Roman" w:hAnsi="Helvetica" w:cs="Helvetica"/>
          <w:i/>
          <w:color w:val="0A1B32"/>
          <w:sz w:val="27"/>
          <w:szCs w:val="27"/>
          <w:lang w:val="en-US" w:eastAsia="pl-PL"/>
        </w:rPr>
        <w:t>For example, if an upward-sloping yield curve starts to flatten out, portfolio managers of financial institutions might try to “lock in” relatively cheap sources of funds by getting long-term commitments from depositors and o</w:t>
      </w:r>
      <w:r>
        <w:rPr>
          <w:rFonts w:ascii="Helvetica" w:eastAsia="Times New Roman" w:hAnsi="Helvetica" w:cs="Helvetica"/>
          <w:i/>
          <w:color w:val="0A1B32"/>
          <w:sz w:val="27"/>
          <w:szCs w:val="27"/>
          <w:lang w:val="en-US" w:eastAsia="pl-PL"/>
        </w:rPr>
        <w:t>ther funds-supplying customers.</w:t>
      </w:r>
    </w:p>
    <w:p w:rsidR="00B55BD8" w:rsidRPr="00754929" w:rsidRDefault="00B55BD8" w:rsidP="0027628D">
      <w:pPr>
        <w:jc w:val="both"/>
        <w:rPr>
          <w:rFonts w:ascii="Helvetica" w:eastAsia="Times New Roman" w:hAnsi="Helvetica" w:cs="Helvetica"/>
          <w:i/>
          <w:color w:val="0A1B32"/>
          <w:sz w:val="27"/>
          <w:szCs w:val="27"/>
          <w:lang w:val="en-US" w:eastAsia="pl-PL"/>
        </w:rPr>
      </w:pPr>
      <w:r w:rsidRPr="00B55BD8">
        <w:rPr>
          <w:rFonts w:ascii="Helvetica" w:eastAsia="Times New Roman" w:hAnsi="Helvetica" w:cs="Helvetica"/>
          <w:i/>
          <w:color w:val="0A1B32"/>
          <w:sz w:val="27"/>
          <w:szCs w:val="27"/>
          <w:lang w:val="en-US" w:eastAsia="pl-PL"/>
        </w:rPr>
        <w:t xml:space="preserve">Borrowers, on the other hand, might be encouraged to take out long-term loans at fixed rates of interest. Of course, the financial institution’s customers also may be aware of impending changes in the yield curve and resist taking on long-term loans or deposit </w:t>
      </w:r>
      <w:r w:rsidR="00F66ADC">
        <w:rPr>
          <w:rFonts w:ascii="Helvetica" w:eastAsia="Times New Roman" w:hAnsi="Helvetica" w:cs="Helvetica"/>
          <w:i/>
          <w:color w:val="0A1B32"/>
          <w:sz w:val="27"/>
          <w:szCs w:val="27"/>
          <w:lang w:val="en-US" w:eastAsia="pl-PL"/>
        </w:rPr>
        <w:t>contracts at potentially unfavo</w:t>
      </w:r>
      <w:r w:rsidRPr="00B55BD8">
        <w:rPr>
          <w:rFonts w:ascii="Helvetica" w:eastAsia="Times New Roman" w:hAnsi="Helvetica" w:cs="Helvetica"/>
          <w:i/>
          <w:color w:val="0A1B32"/>
          <w:sz w:val="27"/>
          <w:szCs w:val="27"/>
          <w:lang w:val="en-US" w:eastAsia="pl-PL"/>
        </w:rPr>
        <w:t>rable interest rates.</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16. What's the riskiest part of the yield curve?</w:t>
      </w:r>
    </w:p>
    <w:p w:rsidR="009624F8" w:rsidRPr="009624F8" w:rsidRDefault="009624F8" w:rsidP="009624F8">
      <w:pPr>
        <w:spacing w:after="100" w:afterAutospacing="1" w:line="240" w:lineRule="auto"/>
        <w:jc w:val="both"/>
        <w:rPr>
          <w:rFonts w:ascii="Helvetica" w:eastAsia="Times New Roman" w:hAnsi="Helvetica" w:cs="Helvetica"/>
          <w:i/>
          <w:color w:val="0A1B32"/>
          <w:sz w:val="27"/>
          <w:szCs w:val="27"/>
          <w:lang w:val="en-US" w:eastAsia="pl-PL"/>
        </w:rPr>
      </w:pPr>
      <w:r w:rsidRPr="009624F8">
        <w:rPr>
          <w:rFonts w:ascii="Helvetica" w:eastAsia="Times New Roman" w:hAnsi="Helvetica" w:cs="Helvetica"/>
          <w:i/>
          <w:color w:val="0A1B32"/>
          <w:sz w:val="27"/>
          <w:szCs w:val="27"/>
          <w:lang w:val="en-US" w:eastAsia="pl-PL"/>
        </w:rPr>
        <w:t>In a normal distribution, the end of the yield curve tends to be the most risky because a small movement in short term years will compound into a larger movement in the long term yields. Long term bonds are very sensitive to rate changes.</w:t>
      </w:r>
    </w:p>
    <w:p w:rsidR="009624F8" w:rsidRPr="00754929" w:rsidRDefault="009624F8" w:rsidP="009624F8">
      <w:pPr>
        <w:spacing w:after="100" w:afterAutospacing="1" w:line="240" w:lineRule="auto"/>
        <w:jc w:val="both"/>
        <w:rPr>
          <w:rFonts w:ascii="Helvetica" w:eastAsia="Times New Roman" w:hAnsi="Helvetica" w:cs="Helvetica"/>
          <w:i/>
          <w:color w:val="0A1B32"/>
          <w:sz w:val="27"/>
          <w:szCs w:val="27"/>
          <w:lang w:val="en-US" w:eastAsia="pl-PL"/>
        </w:rPr>
      </w:pPr>
      <w:r w:rsidRPr="009624F8">
        <w:rPr>
          <w:rFonts w:ascii="Helvetica" w:eastAsia="Times New Roman" w:hAnsi="Helvetica" w:cs="Helvetica"/>
          <w:i/>
          <w:color w:val="0A1B32"/>
          <w:sz w:val="27"/>
          <w:szCs w:val="27"/>
          <w:lang w:val="en-US" w:eastAsia="pl-PL"/>
        </w:rPr>
        <w:t>However, if the yield is inverted, shorter term maturities are considered riskier. WHY?</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17. What does it mean for risk when the yield curve is inverted?</w:t>
      </w:r>
    </w:p>
    <w:p w:rsidR="00C107B0" w:rsidRPr="00C107B0" w:rsidRDefault="00C107B0" w:rsidP="00C107B0">
      <w:pPr>
        <w:spacing w:after="100" w:afterAutospacing="1" w:line="240" w:lineRule="auto"/>
        <w:jc w:val="both"/>
        <w:rPr>
          <w:rFonts w:ascii="Helvetica" w:eastAsia="Times New Roman" w:hAnsi="Helvetica" w:cs="Helvetica"/>
          <w:i/>
          <w:color w:val="0A1B32"/>
          <w:sz w:val="27"/>
          <w:szCs w:val="27"/>
          <w:lang w:val="en-US" w:eastAsia="pl-PL"/>
        </w:rPr>
      </w:pPr>
      <w:r w:rsidRPr="00C107B0">
        <w:rPr>
          <w:rFonts w:ascii="Helvetica" w:eastAsia="Times New Roman" w:hAnsi="Helvetica" w:cs="Helvetica"/>
          <w:i/>
          <w:color w:val="0A1B32"/>
          <w:sz w:val="27"/>
          <w:szCs w:val="27"/>
          <w:lang w:val="en-US" w:eastAsia="pl-PL"/>
        </w:rPr>
        <w:t>Generally speaking, the yield curve is a line chart that plots interest rates for bonds that have equal credit quality, but different maturity dates.</w:t>
      </w:r>
    </w:p>
    <w:p w:rsidR="00C107B0" w:rsidRPr="00C107B0" w:rsidRDefault="00C107B0" w:rsidP="00C107B0">
      <w:pPr>
        <w:spacing w:after="100" w:afterAutospacing="1" w:line="240" w:lineRule="auto"/>
        <w:jc w:val="both"/>
        <w:rPr>
          <w:rFonts w:ascii="Helvetica" w:eastAsia="Times New Roman" w:hAnsi="Helvetica" w:cs="Helvetica"/>
          <w:i/>
          <w:color w:val="0A1B32"/>
          <w:sz w:val="27"/>
          <w:szCs w:val="27"/>
          <w:lang w:val="en-US" w:eastAsia="pl-PL"/>
        </w:rPr>
      </w:pPr>
      <w:r w:rsidRPr="00C107B0">
        <w:rPr>
          <w:rFonts w:ascii="Helvetica" w:eastAsia="Times New Roman" w:hAnsi="Helvetica" w:cs="Helvetica"/>
          <w:i/>
          <w:color w:val="0A1B32"/>
          <w:sz w:val="27"/>
          <w:szCs w:val="27"/>
          <w:lang w:val="en-US" w:eastAsia="pl-PL"/>
        </w:rPr>
        <w:t>In normal economic conditions, investors are rewarded with higher interest rates for holding bonds over longer time periods, resulting in an upward sloping yield curve. This is because these longer returns factor in the risk of inflation or default over time.</w:t>
      </w:r>
    </w:p>
    <w:p w:rsidR="00C107B0" w:rsidRPr="00C107B0" w:rsidRDefault="00C107B0" w:rsidP="00C107B0">
      <w:pPr>
        <w:spacing w:after="100" w:afterAutospacing="1" w:line="240" w:lineRule="auto"/>
        <w:jc w:val="both"/>
        <w:rPr>
          <w:rFonts w:ascii="Helvetica" w:eastAsia="Times New Roman" w:hAnsi="Helvetica" w:cs="Helvetica"/>
          <w:i/>
          <w:color w:val="0A1B32"/>
          <w:sz w:val="27"/>
          <w:szCs w:val="27"/>
          <w:lang w:val="en-US" w:eastAsia="pl-PL"/>
        </w:rPr>
      </w:pPr>
      <w:r w:rsidRPr="00C107B0">
        <w:rPr>
          <w:rFonts w:ascii="Helvetica" w:eastAsia="Times New Roman" w:hAnsi="Helvetica" w:cs="Helvetica"/>
          <w:i/>
          <w:color w:val="0A1B32"/>
          <w:sz w:val="27"/>
          <w:szCs w:val="27"/>
          <w:lang w:val="en-US" w:eastAsia="pl-PL"/>
        </w:rPr>
        <w:t>So when interest rates on long-term bonds fall lower than those of short-term bonds, it results in an inverted yield curve.</w:t>
      </w:r>
    </w:p>
    <w:p w:rsidR="00C107B0" w:rsidRPr="00C107B0" w:rsidRDefault="00C107B0" w:rsidP="00C107B0">
      <w:pPr>
        <w:spacing w:after="100" w:afterAutospacing="1" w:line="240" w:lineRule="auto"/>
        <w:jc w:val="both"/>
        <w:rPr>
          <w:rFonts w:ascii="Helvetica" w:eastAsia="Times New Roman" w:hAnsi="Helvetica" w:cs="Helvetica"/>
          <w:i/>
          <w:color w:val="0A1B32"/>
          <w:sz w:val="27"/>
          <w:szCs w:val="27"/>
          <w:lang w:val="en-US" w:eastAsia="pl-PL"/>
        </w:rPr>
      </w:pPr>
      <w:r w:rsidRPr="00C107B0">
        <w:rPr>
          <w:rFonts w:ascii="Helvetica" w:eastAsia="Times New Roman" w:hAnsi="Helvetica" w:cs="Helvetica"/>
          <w:i/>
          <w:color w:val="0A1B32"/>
          <w:sz w:val="27"/>
          <w:szCs w:val="27"/>
          <w:lang w:val="en-US" w:eastAsia="pl-PL"/>
        </w:rPr>
        <w:t>The worrying trend is that an inverted yield curve in key government securities such as U.S. Treasuries can often foreshadow a recession. For every recession since 1960, an inverted yield curve took place roughly a year before, with just one exception in the mid-1960s.</w:t>
      </w:r>
    </w:p>
    <w:p w:rsidR="00C107B0" w:rsidRPr="00C107B0" w:rsidRDefault="00C107B0" w:rsidP="00C107B0">
      <w:pPr>
        <w:spacing w:after="100" w:afterAutospacing="1" w:line="240" w:lineRule="auto"/>
        <w:jc w:val="both"/>
        <w:rPr>
          <w:rFonts w:ascii="Helvetica" w:eastAsia="Times New Roman" w:hAnsi="Helvetica" w:cs="Helvetica"/>
          <w:i/>
          <w:color w:val="0A1B32"/>
          <w:sz w:val="27"/>
          <w:szCs w:val="27"/>
          <w:lang w:val="en-US" w:eastAsia="pl-PL"/>
        </w:rPr>
      </w:pPr>
    </w:p>
    <w:p w:rsidR="00C107B0" w:rsidRPr="00754929" w:rsidRDefault="00C107B0" w:rsidP="00C107B0">
      <w:pPr>
        <w:spacing w:after="100" w:afterAutospacing="1" w:line="240" w:lineRule="auto"/>
        <w:jc w:val="both"/>
        <w:rPr>
          <w:rFonts w:ascii="Helvetica" w:eastAsia="Times New Roman" w:hAnsi="Helvetica" w:cs="Helvetica"/>
          <w:i/>
          <w:color w:val="0A1B32"/>
          <w:sz w:val="27"/>
          <w:szCs w:val="27"/>
          <w:lang w:val="en-US" w:eastAsia="pl-PL"/>
        </w:rPr>
      </w:pPr>
      <w:r w:rsidRPr="00C107B0">
        <w:rPr>
          <w:rFonts w:ascii="Helvetica" w:eastAsia="Times New Roman" w:hAnsi="Helvetica" w:cs="Helvetica"/>
          <w:i/>
          <w:color w:val="0A1B32"/>
          <w:sz w:val="27"/>
          <w:szCs w:val="27"/>
          <w:lang w:val="en-US" w:eastAsia="pl-PL"/>
        </w:rPr>
        <w:t>This is because the yield curve has steep implications for financial markets. If the market predicts economic turbulence, and that interest rates will fall in the long term, investors flock to buy longer-dated bonds.</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18. What is the discount factor? How would you calculate it?</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The present value of a cash flow (i.e. the value of future cash in today’s dollars) is calculated by multiplying the cash flow for each projected year by the discount factor, which is driven by the discount rate and the matching time period.</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Generally speaking, there are two approaches to calculating the discount factor, but in either case, the discount factor is a function of the:</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Discount Rate</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Time Period</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The discount rate can be thought of as representing the percentage of return that you could have received by investing that dollar</w:t>
      </w:r>
      <w:r>
        <w:rPr>
          <w:rFonts w:ascii="Helvetica" w:eastAsia="Times New Roman" w:hAnsi="Helvetica" w:cs="Helvetica"/>
          <w:i/>
          <w:color w:val="0A1B32"/>
          <w:sz w:val="27"/>
          <w:szCs w:val="27"/>
          <w:lang w:val="en-US" w:eastAsia="pl-PL"/>
        </w:rPr>
        <w:t>, if you had received it today.</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The reason you would prefer to have $1 today than $1 three years from now is that if you received the $1 three years from now, you would have missed out on a full three years when you could have invested that $1 and ended up with more than $1 by the end of that time.</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Discount Factor Formula</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The first formula for the discou</w:t>
      </w:r>
      <w:r>
        <w:rPr>
          <w:rFonts w:ascii="Helvetica" w:eastAsia="Times New Roman" w:hAnsi="Helvetica" w:cs="Helvetica"/>
          <w:i/>
          <w:color w:val="0A1B32"/>
          <w:sz w:val="27"/>
          <w:szCs w:val="27"/>
          <w:lang w:val="en-US" w:eastAsia="pl-PL"/>
        </w:rPr>
        <w:t>nt factor has been shown below.</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Discount Factor = (1 + Discount Rate) ^ (– Period Number)</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And the formula can be re-arrang</w:t>
      </w:r>
      <w:r>
        <w:rPr>
          <w:rFonts w:ascii="Helvetica" w:eastAsia="Times New Roman" w:hAnsi="Helvetica" w:cs="Helvetica"/>
          <w:i/>
          <w:color w:val="0A1B32"/>
          <w:sz w:val="27"/>
          <w:szCs w:val="27"/>
          <w:lang w:val="en-US" w:eastAsia="pl-PL"/>
        </w:rPr>
        <w:t>ed as:</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Discount Factor = 1 ÷ (1 + Discount Rate) ^ Period Number</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Either formula could be used in Excel; however, we will be using the first formula in our example as it is a bit more convenient (i.e., Excel re-arranges the formula itself in the first form</w:t>
      </w:r>
      <w:r>
        <w:rPr>
          <w:rFonts w:ascii="Helvetica" w:eastAsia="Times New Roman" w:hAnsi="Helvetica" w:cs="Helvetica"/>
          <w:i/>
          <w:color w:val="0A1B32"/>
          <w:sz w:val="27"/>
          <w:szCs w:val="27"/>
          <w:lang w:val="en-US" w:eastAsia="pl-PL"/>
        </w:rPr>
        <w:t>ula).</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To arrive at the present value using the first approach, the factor would then be multiplied by the cash flow to get the present value (“PV”).</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Present Value (PV) = Cash Flow x Discount Factor</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While the discount rate remains constant throughout the projection, the period number rising is what causes th</w:t>
      </w:r>
      <w:r>
        <w:rPr>
          <w:rFonts w:ascii="Helvetica" w:eastAsia="Times New Roman" w:hAnsi="Helvetica" w:cs="Helvetica"/>
          <w:i/>
          <w:color w:val="0A1B32"/>
          <w:sz w:val="27"/>
          <w:szCs w:val="27"/>
          <w:lang w:val="en-US" w:eastAsia="pl-PL"/>
        </w:rPr>
        <w:t>e factor to decrease over time.</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Note that the period can be whatever length you want (years, months, days, even hours) – but it is critical to ensure that the period is aligned with the impli</w:t>
      </w:r>
      <w:r>
        <w:rPr>
          <w:rFonts w:ascii="Helvetica" w:eastAsia="Times New Roman" w:hAnsi="Helvetica" w:cs="Helvetica"/>
          <w:i/>
          <w:color w:val="0A1B32"/>
          <w:sz w:val="27"/>
          <w:szCs w:val="27"/>
          <w:lang w:val="en-US" w:eastAsia="pl-PL"/>
        </w:rPr>
        <w:t>ed period of the discount rate.</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Intuitively, the discount factor, which is always calculated by one divided by a figure, decreases the cash flow values. This also ties back to what we discussed at the beginning, where receiving $1 today is more valuable t</w:t>
      </w:r>
      <w:r>
        <w:rPr>
          <w:rFonts w:ascii="Helvetica" w:eastAsia="Times New Roman" w:hAnsi="Helvetica" w:cs="Helvetica"/>
          <w:i/>
          <w:color w:val="0A1B32"/>
          <w:sz w:val="27"/>
          <w:szCs w:val="27"/>
          <w:lang w:val="en-US" w:eastAsia="pl-PL"/>
        </w:rPr>
        <w:t>han receiving $1 in the future.</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To tie this back to the example using $1, assuming a 10% discount rate and a one-year time horizon – the discount</w:t>
      </w:r>
      <w:r>
        <w:rPr>
          <w:rFonts w:ascii="Helvetica" w:eastAsia="Times New Roman" w:hAnsi="Helvetica" w:cs="Helvetica"/>
          <w:i/>
          <w:color w:val="0A1B32"/>
          <w:sz w:val="27"/>
          <w:szCs w:val="27"/>
          <w:lang w:val="en-US" w:eastAsia="pl-PL"/>
        </w:rPr>
        <w:t xml:space="preserve"> factor would be calculated as:</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0.91 = 1 / (1 + 10%) ^ 1</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Next, the present value can be calculated</w:t>
      </w:r>
      <w:r>
        <w:rPr>
          <w:rFonts w:ascii="Helvetica" w:eastAsia="Times New Roman" w:hAnsi="Helvetica" w:cs="Helvetica"/>
          <w:i/>
          <w:color w:val="0A1B32"/>
          <w:sz w:val="27"/>
          <w:szCs w:val="27"/>
          <w:lang w:val="en-US" w:eastAsia="pl-PL"/>
        </w:rPr>
        <w:t xml:space="preserve"> using:</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0.91 = $1 × 0.91</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 xml:space="preserve">The example implies that $1 dollar received one year from the current period would be </w:t>
      </w:r>
      <w:r>
        <w:rPr>
          <w:rFonts w:ascii="Helvetica" w:eastAsia="Times New Roman" w:hAnsi="Helvetica" w:cs="Helvetica"/>
          <w:i/>
          <w:color w:val="0A1B32"/>
          <w:sz w:val="27"/>
          <w:szCs w:val="27"/>
          <w:lang w:val="en-US" w:eastAsia="pl-PL"/>
        </w:rPr>
        <w:t>worth $0.91 in the present day.</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The formula for the second approach is virtually identical, except for the absence of the negative sign in front</w:t>
      </w:r>
      <w:r>
        <w:rPr>
          <w:rFonts w:ascii="Helvetica" w:eastAsia="Times New Roman" w:hAnsi="Helvetica" w:cs="Helvetica"/>
          <w:i/>
          <w:color w:val="0A1B32"/>
          <w:sz w:val="27"/>
          <w:szCs w:val="27"/>
          <w:lang w:val="en-US" w:eastAsia="pl-PL"/>
        </w:rPr>
        <w:t xml:space="preserve"> of the period number exponent.</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Discount Factor = (1 + Discount Rate) ^ Period Number</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Unlike the first approach, the present value formula this time around divides the ca</w:t>
      </w:r>
      <w:r>
        <w:rPr>
          <w:rFonts w:ascii="Helvetica" w:eastAsia="Times New Roman" w:hAnsi="Helvetica" w:cs="Helvetica"/>
          <w:i/>
          <w:color w:val="0A1B32"/>
          <w:sz w:val="27"/>
          <w:szCs w:val="27"/>
          <w:lang w:val="en-US" w:eastAsia="pl-PL"/>
        </w:rPr>
        <w:t>sh flow by the discount factor.</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Present Value (PV) = Cash Flow ÷ Discount Factor</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 xml:space="preserve">By entering the discount factor formula into the PV formula, the </w:t>
      </w:r>
      <w:r>
        <w:rPr>
          <w:rFonts w:ascii="Helvetica" w:eastAsia="Times New Roman" w:hAnsi="Helvetica" w:cs="Helvetica"/>
          <w:i/>
          <w:color w:val="0A1B32"/>
          <w:sz w:val="27"/>
          <w:szCs w:val="27"/>
          <w:lang w:val="en-US" w:eastAsia="pl-PL"/>
        </w:rPr>
        <w:t>formula can be re-expressed as:</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Present Value (PV) = Cash Flow ÷ (1 + Discount Rate) ^ Period Number</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As opposed to decreasing over time, the factor increases in this case – thereby, the downward adjustment on the present value becomes more apparent in later years.</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 xml:space="preserve">Returning to the $1 dollar example with the same 10% discount rate and one-year </w:t>
      </w:r>
      <w:r>
        <w:rPr>
          <w:rFonts w:ascii="Helvetica" w:eastAsia="Times New Roman" w:hAnsi="Helvetica" w:cs="Helvetica"/>
          <w:i/>
          <w:color w:val="0A1B32"/>
          <w:sz w:val="27"/>
          <w:szCs w:val="27"/>
          <w:lang w:val="en-US" w:eastAsia="pl-PL"/>
        </w:rPr>
        <w:t>time frame, the calculation is:</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1.1 = (1 + 10%) ^ 1</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And upon applyi</w:t>
      </w:r>
      <w:r>
        <w:rPr>
          <w:rFonts w:ascii="Helvetica" w:eastAsia="Times New Roman" w:hAnsi="Helvetica" w:cs="Helvetica"/>
          <w:i/>
          <w:color w:val="0A1B32"/>
          <w:sz w:val="27"/>
          <w:szCs w:val="27"/>
          <w:lang w:val="en-US" w:eastAsia="pl-PL"/>
        </w:rPr>
        <w:t>ng this to the $1 in cash flow:</w:t>
      </w:r>
    </w:p>
    <w:p w:rsidR="009E5446" w:rsidRPr="009E5446"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0.91 = 1 / 1.1</w:t>
      </w:r>
    </w:p>
    <w:p w:rsidR="009E5446" w:rsidRPr="00754929" w:rsidRDefault="009E5446" w:rsidP="009E5446">
      <w:pPr>
        <w:spacing w:after="100" w:afterAutospacing="1" w:line="240" w:lineRule="auto"/>
        <w:jc w:val="both"/>
        <w:rPr>
          <w:rFonts w:ascii="Helvetica" w:eastAsia="Times New Roman" w:hAnsi="Helvetica" w:cs="Helvetica"/>
          <w:i/>
          <w:color w:val="0A1B32"/>
          <w:sz w:val="27"/>
          <w:szCs w:val="27"/>
          <w:lang w:val="en-US" w:eastAsia="pl-PL"/>
        </w:rPr>
      </w:pPr>
      <w:r w:rsidRPr="009E5446">
        <w:rPr>
          <w:rFonts w:ascii="Helvetica" w:eastAsia="Times New Roman" w:hAnsi="Helvetica" w:cs="Helvetica"/>
          <w:i/>
          <w:color w:val="0A1B32"/>
          <w:sz w:val="27"/>
          <w:szCs w:val="27"/>
          <w:lang w:val="en-US" w:eastAsia="pl-PL"/>
        </w:rPr>
        <w:t>So, as we can see, both methods calculate the same present value for the $1 one year from today ($0.91).</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19. What is convexity? How would you calculate it? Why is it important?</w:t>
      </w:r>
    </w:p>
    <w:p w:rsidR="006C79C1" w:rsidRPr="006C79C1" w:rsidRDefault="006C79C1" w:rsidP="006C79C1">
      <w:pPr>
        <w:shd w:val="clear" w:color="auto" w:fill="FFFFFF"/>
        <w:spacing w:after="225" w:line="240" w:lineRule="auto"/>
        <w:jc w:val="both"/>
        <w:rPr>
          <w:rFonts w:ascii="Helvetica" w:eastAsia="Times New Roman" w:hAnsi="Helvetica" w:cs="Helvetica"/>
          <w:i/>
          <w:color w:val="0A1B32"/>
          <w:sz w:val="27"/>
          <w:szCs w:val="27"/>
          <w:lang w:val="en-US" w:eastAsia="pl-PL"/>
        </w:rPr>
      </w:pPr>
      <w:r w:rsidRPr="006C79C1">
        <w:rPr>
          <w:rFonts w:ascii="Helvetica" w:eastAsia="Times New Roman" w:hAnsi="Helvetica" w:cs="Helvetica"/>
          <w:i/>
          <w:color w:val="0A1B32"/>
          <w:sz w:val="27"/>
          <w:szCs w:val="27"/>
          <w:lang w:val="en-US" w:eastAsia="pl-PL"/>
        </w:rPr>
        <w:t>As the yield on a bond changes so too does its duration. A bond’s convexity measures the sensitivity of a bond’s duration to changes in yield. Duration is an imperfect way of measuring a bond’s price change, as it indicates that this change is linear in nature when in fact it exhibits a sloped or “convex” shape. A bond is said to have positive convexity if duration rises as the yield declines. A bond with positive convexity will have larger price increases due to a decline in yields than price declines due to an increase in yields. Positive convexity can be thought of as working in the investor’s favor, since the price becomes less sensitive when yields rise (prices down) than when yields decline (prices up). Bonds can also have negative convexity, which would indicate that duration rises as yields increase and can work against an investor’s interest. The table below highlights the types of bonds that exhibit each type of convexity.</w:t>
      </w:r>
    </w:p>
    <w:p w:rsidR="006C79C1" w:rsidRPr="006C79C1" w:rsidRDefault="006C79C1" w:rsidP="006C79C1">
      <w:pPr>
        <w:shd w:val="clear" w:color="auto" w:fill="FFFFFF"/>
        <w:spacing w:after="225" w:line="525" w:lineRule="atLeast"/>
        <w:outlineLvl w:val="2"/>
        <w:rPr>
          <w:rFonts w:ascii="Arial" w:eastAsia="Times New Roman" w:hAnsi="Arial" w:cs="Arial"/>
          <w:b/>
          <w:bCs/>
          <w:color w:val="002949"/>
          <w:sz w:val="27"/>
          <w:szCs w:val="27"/>
          <w:lang w:val="en-US" w:eastAsia="pl-PL"/>
        </w:rPr>
      </w:pPr>
      <w:r w:rsidRPr="006C79C1">
        <w:rPr>
          <w:rFonts w:ascii="Arial" w:eastAsia="Times New Roman" w:hAnsi="Arial" w:cs="Arial"/>
          <w:b/>
          <w:bCs/>
          <w:color w:val="002949"/>
          <w:sz w:val="27"/>
          <w:szCs w:val="27"/>
          <w:lang w:val="en-US" w:eastAsia="pl-PL"/>
        </w:rPr>
        <w:t>Examples of Bonds with Positive and Negative Convexity</w:t>
      </w:r>
    </w:p>
    <w:tbl>
      <w:tblPr>
        <w:tblW w:w="11010" w:type="dxa"/>
        <w:shd w:val="clear" w:color="auto" w:fill="FFFFFF"/>
        <w:tblCellMar>
          <w:left w:w="0" w:type="dxa"/>
          <w:right w:w="0" w:type="dxa"/>
        </w:tblCellMar>
        <w:tblLook w:val="04A0" w:firstRow="1" w:lastRow="0" w:firstColumn="1" w:lastColumn="0" w:noHBand="0" w:noVBand="1"/>
      </w:tblPr>
      <w:tblGrid>
        <w:gridCol w:w="3304"/>
        <w:gridCol w:w="7706"/>
      </w:tblGrid>
      <w:tr w:rsidR="006C79C1" w:rsidRPr="006C79C1" w:rsidTr="006C79C1">
        <w:tc>
          <w:tcPr>
            <w:tcW w:w="0" w:type="auto"/>
            <w:shd w:val="clear" w:color="auto" w:fill="002949"/>
            <w:tcMar>
              <w:top w:w="225" w:type="dxa"/>
              <w:left w:w="225" w:type="dxa"/>
              <w:bottom w:w="225" w:type="dxa"/>
              <w:right w:w="225" w:type="dxa"/>
            </w:tcMar>
            <w:vAlign w:val="center"/>
            <w:hideMark/>
          </w:tcPr>
          <w:p w:rsidR="006C79C1" w:rsidRPr="006C79C1" w:rsidRDefault="006C79C1" w:rsidP="006C79C1">
            <w:pPr>
              <w:spacing w:after="300" w:line="240" w:lineRule="auto"/>
              <w:rPr>
                <w:rFonts w:ascii="Arial" w:eastAsia="Times New Roman" w:hAnsi="Arial" w:cs="Arial"/>
                <w:b/>
                <w:bCs/>
                <w:color w:val="FFFFFF"/>
                <w:sz w:val="21"/>
                <w:szCs w:val="21"/>
                <w:lang w:eastAsia="pl-PL"/>
              </w:rPr>
            </w:pPr>
            <w:r w:rsidRPr="006C79C1">
              <w:rPr>
                <w:rFonts w:ascii="Arial" w:eastAsia="Times New Roman" w:hAnsi="Arial" w:cs="Arial"/>
                <w:b/>
                <w:bCs/>
                <w:color w:val="FFFFFF"/>
                <w:sz w:val="21"/>
                <w:szCs w:val="21"/>
                <w:lang w:eastAsia="pl-PL"/>
              </w:rPr>
              <w:t>Type of Convexity</w:t>
            </w:r>
          </w:p>
        </w:tc>
        <w:tc>
          <w:tcPr>
            <w:tcW w:w="0" w:type="auto"/>
            <w:shd w:val="clear" w:color="auto" w:fill="002949"/>
            <w:tcMar>
              <w:top w:w="225" w:type="dxa"/>
              <w:left w:w="225" w:type="dxa"/>
              <w:bottom w:w="225" w:type="dxa"/>
              <w:right w:w="225" w:type="dxa"/>
            </w:tcMar>
            <w:vAlign w:val="center"/>
            <w:hideMark/>
          </w:tcPr>
          <w:p w:rsidR="006C79C1" w:rsidRPr="006C79C1" w:rsidRDefault="006C79C1" w:rsidP="006C79C1">
            <w:pPr>
              <w:spacing w:after="300" w:line="240" w:lineRule="auto"/>
              <w:rPr>
                <w:rFonts w:ascii="Arial" w:eastAsia="Times New Roman" w:hAnsi="Arial" w:cs="Arial"/>
                <w:b/>
                <w:bCs/>
                <w:color w:val="FFFFFF"/>
                <w:sz w:val="21"/>
                <w:szCs w:val="21"/>
                <w:lang w:eastAsia="pl-PL"/>
              </w:rPr>
            </w:pPr>
            <w:r w:rsidRPr="006C79C1">
              <w:rPr>
                <w:rFonts w:ascii="Arial" w:eastAsia="Times New Roman" w:hAnsi="Arial" w:cs="Arial"/>
                <w:b/>
                <w:bCs/>
                <w:color w:val="FFFFFF"/>
                <w:sz w:val="21"/>
                <w:szCs w:val="21"/>
                <w:lang w:eastAsia="pl-PL"/>
              </w:rPr>
              <w:t>Typical Types of Bonds</w:t>
            </w:r>
          </w:p>
        </w:tc>
      </w:tr>
      <w:tr w:rsidR="006C79C1" w:rsidRPr="006C79C1" w:rsidTr="006C79C1">
        <w:tc>
          <w:tcPr>
            <w:tcW w:w="0" w:type="auto"/>
            <w:shd w:val="clear" w:color="auto" w:fill="F1F1F1"/>
            <w:tcMar>
              <w:top w:w="225" w:type="dxa"/>
              <w:left w:w="225" w:type="dxa"/>
              <w:bottom w:w="225" w:type="dxa"/>
              <w:right w:w="225" w:type="dxa"/>
            </w:tcMar>
            <w:hideMark/>
          </w:tcPr>
          <w:p w:rsidR="006C79C1" w:rsidRPr="006C79C1" w:rsidRDefault="006C79C1" w:rsidP="006C79C1">
            <w:pPr>
              <w:spacing w:after="300" w:line="240" w:lineRule="auto"/>
              <w:rPr>
                <w:rFonts w:ascii="Arial" w:eastAsia="Times New Roman" w:hAnsi="Arial" w:cs="Arial"/>
                <w:color w:val="002949"/>
                <w:sz w:val="21"/>
                <w:szCs w:val="21"/>
                <w:lang w:eastAsia="pl-PL"/>
              </w:rPr>
            </w:pPr>
            <w:r w:rsidRPr="006C79C1">
              <w:rPr>
                <w:rFonts w:ascii="Arial" w:eastAsia="Times New Roman" w:hAnsi="Arial" w:cs="Arial"/>
                <w:color w:val="002949"/>
                <w:sz w:val="21"/>
                <w:szCs w:val="21"/>
                <w:lang w:eastAsia="pl-PL"/>
              </w:rPr>
              <w:t>Positive Convexity</w:t>
            </w:r>
          </w:p>
        </w:tc>
        <w:tc>
          <w:tcPr>
            <w:tcW w:w="0" w:type="auto"/>
            <w:shd w:val="clear" w:color="auto" w:fill="F1F1F1"/>
            <w:tcMar>
              <w:top w:w="225" w:type="dxa"/>
              <w:left w:w="225" w:type="dxa"/>
              <w:bottom w:w="225" w:type="dxa"/>
              <w:right w:w="225" w:type="dxa"/>
            </w:tcMar>
            <w:hideMark/>
          </w:tcPr>
          <w:p w:rsidR="006C79C1" w:rsidRPr="006C79C1" w:rsidRDefault="006C79C1" w:rsidP="006C79C1">
            <w:pPr>
              <w:spacing w:after="300" w:line="240" w:lineRule="auto"/>
              <w:rPr>
                <w:rFonts w:ascii="Arial" w:eastAsia="Times New Roman" w:hAnsi="Arial" w:cs="Arial"/>
                <w:color w:val="002949"/>
                <w:sz w:val="21"/>
                <w:szCs w:val="21"/>
                <w:lang w:val="en-US" w:eastAsia="pl-PL"/>
              </w:rPr>
            </w:pPr>
            <w:r w:rsidRPr="006C79C1">
              <w:rPr>
                <w:rFonts w:ascii="Arial" w:eastAsia="Times New Roman" w:hAnsi="Arial" w:cs="Arial"/>
                <w:color w:val="002949"/>
                <w:sz w:val="21"/>
                <w:szCs w:val="21"/>
                <w:lang w:val="en-US" w:eastAsia="pl-PL"/>
              </w:rPr>
              <w:t>Non-callable bonds, bonds with make-whole calls</w:t>
            </w:r>
          </w:p>
        </w:tc>
      </w:tr>
      <w:tr w:rsidR="006C79C1" w:rsidRPr="006C79C1" w:rsidTr="006C79C1">
        <w:tc>
          <w:tcPr>
            <w:tcW w:w="0" w:type="auto"/>
            <w:shd w:val="clear" w:color="auto" w:fill="FFFFFF"/>
            <w:tcMar>
              <w:top w:w="225" w:type="dxa"/>
              <w:left w:w="225" w:type="dxa"/>
              <w:bottom w:w="225" w:type="dxa"/>
              <w:right w:w="225" w:type="dxa"/>
            </w:tcMar>
            <w:hideMark/>
          </w:tcPr>
          <w:p w:rsidR="006C79C1" w:rsidRPr="006C79C1" w:rsidRDefault="006C79C1" w:rsidP="006C79C1">
            <w:pPr>
              <w:spacing w:after="300" w:line="240" w:lineRule="auto"/>
              <w:rPr>
                <w:rFonts w:ascii="Arial" w:eastAsia="Times New Roman" w:hAnsi="Arial" w:cs="Arial"/>
                <w:color w:val="002949"/>
                <w:sz w:val="21"/>
                <w:szCs w:val="21"/>
                <w:lang w:eastAsia="pl-PL"/>
              </w:rPr>
            </w:pPr>
            <w:r w:rsidRPr="006C79C1">
              <w:rPr>
                <w:rFonts w:ascii="Arial" w:eastAsia="Times New Roman" w:hAnsi="Arial" w:cs="Arial"/>
                <w:color w:val="002949"/>
                <w:sz w:val="21"/>
                <w:szCs w:val="21"/>
                <w:lang w:eastAsia="pl-PL"/>
              </w:rPr>
              <w:t>Negative Convexity</w:t>
            </w:r>
          </w:p>
        </w:tc>
        <w:tc>
          <w:tcPr>
            <w:tcW w:w="0" w:type="auto"/>
            <w:shd w:val="clear" w:color="auto" w:fill="FFFFFF"/>
            <w:tcMar>
              <w:top w:w="225" w:type="dxa"/>
              <w:left w:w="225" w:type="dxa"/>
              <w:bottom w:w="225" w:type="dxa"/>
              <w:right w:w="225" w:type="dxa"/>
            </w:tcMar>
            <w:hideMark/>
          </w:tcPr>
          <w:p w:rsidR="006C79C1" w:rsidRPr="006C79C1" w:rsidRDefault="006C79C1" w:rsidP="006C79C1">
            <w:pPr>
              <w:spacing w:after="300" w:line="240" w:lineRule="auto"/>
              <w:rPr>
                <w:rFonts w:ascii="Arial" w:eastAsia="Times New Roman" w:hAnsi="Arial" w:cs="Arial"/>
                <w:color w:val="002949"/>
                <w:sz w:val="21"/>
                <w:szCs w:val="21"/>
                <w:lang w:val="en-US" w:eastAsia="pl-PL"/>
              </w:rPr>
            </w:pPr>
            <w:r w:rsidRPr="006C79C1">
              <w:rPr>
                <w:rFonts w:ascii="Arial" w:eastAsia="Times New Roman" w:hAnsi="Arial" w:cs="Arial"/>
                <w:color w:val="002949"/>
                <w:sz w:val="21"/>
                <w:szCs w:val="21"/>
                <w:lang w:val="en-US" w:eastAsia="pl-PL"/>
              </w:rPr>
              <w:t xml:space="preserve">MBS (most), bonds with a traditional call, </w:t>
            </w:r>
            <w:proofErr w:type="spellStart"/>
            <w:r w:rsidRPr="006C79C1">
              <w:rPr>
                <w:rFonts w:ascii="Arial" w:eastAsia="Times New Roman" w:hAnsi="Arial" w:cs="Arial"/>
                <w:color w:val="002949"/>
                <w:sz w:val="21"/>
                <w:szCs w:val="21"/>
                <w:lang w:val="en-US" w:eastAsia="pl-PL"/>
              </w:rPr>
              <w:t>preferreds</w:t>
            </w:r>
            <w:proofErr w:type="spellEnd"/>
          </w:p>
        </w:tc>
      </w:tr>
    </w:tbl>
    <w:p w:rsidR="006C79C1" w:rsidRPr="006C79C1" w:rsidRDefault="006C79C1" w:rsidP="006C79C1">
      <w:pPr>
        <w:shd w:val="clear" w:color="auto" w:fill="FFFFFF"/>
        <w:spacing w:after="225" w:line="240" w:lineRule="auto"/>
        <w:rPr>
          <w:rFonts w:ascii="Arial" w:eastAsia="Times New Roman" w:hAnsi="Arial" w:cs="Arial"/>
          <w:color w:val="5B5E5A"/>
          <w:sz w:val="24"/>
          <w:szCs w:val="24"/>
          <w:lang w:eastAsia="pl-PL"/>
        </w:rPr>
      </w:pPr>
      <w:r w:rsidRPr="006C79C1">
        <w:rPr>
          <w:rFonts w:ascii="Arial" w:eastAsia="Times New Roman" w:hAnsi="Arial" w:cs="Arial"/>
          <w:i/>
          <w:iCs/>
          <w:color w:val="5B5E5A"/>
          <w:sz w:val="24"/>
          <w:szCs w:val="24"/>
          <w:lang w:eastAsia="pl-PL"/>
        </w:rPr>
        <w:t>(Source: Raymond James)</w:t>
      </w:r>
    </w:p>
    <w:p w:rsidR="006C79C1" w:rsidRPr="006C79C1" w:rsidRDefault="006C79C1" w:rsidP="006C79C1">
      <w:pPr>
        <w:shd w:val="clear" w:color="auto" w:fill="FFFFFF"/>
        <w:spacing w:after="225" w:line="240" w:lineRule="auto"/>
        <w:jc w:val="both"/>
        <w:rPr>
          <w:rFonts w:ascii="Helvetica" w:eastAsia="Times New Roman" w:hAnsi="Helvetica" w:cs="Helvetica"/>
          <w:i/>
          <w:color w:val="0A1B32"/>
          <w:sz w:val="27"/>
          <w:szCs w:val="27"/>
          <w:lang w:val="en-US" w:eastAsia="pl-PL"/>
        </w:rPr>
      </w:pPr>
      <w:r w:rsidRPr="006C79C1">
        <w:rPr>
          <w:rFonts w:ascii="Helvetica" w:eastAsia="Times New Roman" w:hAnsi="Helvetica" w:cs="Helvetica"/>
          <w:i/>
          <w:color w:val="0A1B32"/>
          <w:sz w:val="27"/>
          <w:szCs w:val="27"/>
          <w:lang w:val="en-US" w:eastAsia="pl-PL"/>
        </w:rPr>
        <w:lastRenderedPageBreak/>
        <w:t>A useful way to visualize a bond’s convexity is to plot the potential price change against various yields. If two bonds have the same duration and yield but differing convexities, a change in interest rates will affect each bond differently. For example, the chart below shows three bonds: a bond with higher positive convexity (Bond A) will be less affected by interest rates than a bond with lower positive convexity (Bond B). On the other hand, a bond with negative convexity (Bond C) will exhibit larger price fluctuations should rates rise than if they were to fall.</w:t>
      </w:r>
    </w:p>
    <w:p w:rsidR="006C79C1" w:rsidRPr="006C79C1" w:rsidRDefault="006C79C1" w:rsidP="006C79C1">
      <w:pPr>
        <w:shd w:val="clear" w:color="auto" w:fill="FFFFFF"/>
        <w:spacing w:after="225" w:line="525" w:lineRule="atLeast"/>
        <w:outlineLvl w:val="2"/>
        <w:rPr>
          <w:rFonts w:ascii="Arial" w:eastAsia="Times New Roman" w:hAnsi="Arial" w:cs="Arial"/>
          <w:b/>
          <w:bCs/>
          <w:color w:val="002949"/>
          <w:sz w:val="27"/>
          <w:szCs w:val="27"/>
          <w:lang w:val="en-US" w:eastAsia="pl-PL"/>
        </w:rPr>
      </w:pPr>
      <w:r w:rsidRPr="006C79C1">
        <w:rPr>
          <w:rFonts w:ascii="Arial" w:eastAsia="Times New Roman" w:hAnsi="Arial" w:cs="Arial"/>
          <w:b/>
          <w:bCs/>
          <w:color w:val="002949"/>
          <w:sz w:val="27"/>
          <w:szCs w:val="27"/>
          <w:lang w:val="en-US" w:eastAsia="pl-PL"/>
        </w:rPr>
        <w:t>Bonds Can Have Very Different Convexities: Positive vs. Negative</w:t>
      </w:r>
    </w:p>
    <w:p w:rsidR="006C79C1" w:rsidRPr="006C79C1" w:rsidRDefault="006C79C1" w:rsidP="006C79C1">
      <w:pPr>
        <w:shd w:val="clear" w:color="auto" w:fill="FFFFFF"/>
        <w:spacing w:after="0" w:line="240" w:lineRule="auto"/>
        <w:rPr>
          <w:rFonts w:ascii="Arial" w:eastAsia="Times New Roman" w:hAnsi="Arial" w:cs="Arial"/>
          <w:color w:val="002949"/>
          <w:sz w:val="21"/>
          <w:szCs w:val="21"/>
          <w:lang w:eastAsia="pl-PL"/>
        </w:rPr>
      </w:pPr>
      <w:r w:rsidRPr="006C79C1">
        <w:rPr>
          <w:rFonts w:ascii="Arial" w:eastAsia="Times New Roman" w:hAnsi="Arial" w:cs="Arial"/>
          <w:noProof/>
          <w:color w:val="002949"/>
          <w:sz w:val="21"/>
          <w:szCs w:val="21"/>
          <w:lang w:eastAsia="pl-PL"/>
        </w:rPr>
        <w:drawing>
          <wp:inline distT="0" distB="0" distL="0" distR="0">
            <wp:extent cx="5267325" cy="3943350"/>
            <wp:effectExtent l="0" t="0" r="9525" b="0"/>
            <wp:docPr id="34" name="Picture 34" descr="https://www.raymondjames.com/-/media/rj/dotcom/images/Wealth%20Management/Advice%20Products%20and%20Services/Investment%20Solutions/Fixed%20Income/Bond%20Basics/Duration%20and%20Convexity/BondsCanHaveVeryDifferentConves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www.raymondjames.com/-/media/rj/dotcom/images/Wealth%20Management/Advice%20Products%20and%20Services/Investment%20Solutions/Fixed%20Income/Bond%20Basics/Duration%20and%20Convexity/BondsCanHaveVeryDifferentConvesit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943350"/>
                    </a:xfrm>
                    <a:prstGeom prst="rect">
                      <a:avLst/>
                    </a:prstGeom>
                    <a:noFill/>
                    <a:ln>
                      <a:noFill/>
                    </a:ln>
                  </pic:spPr>
                </pic:pic>
              </a:graphicData>
            </a:graphic>
          </wp:inline>
        </w:drawing>
      </w:r>
    </w:p>
    <w:p w:rsidR="006C79C1" w:rsidRPr="00754929" w:rsidRDefault="006C79C1" w:rsidP="00754929">
      <w:pPr>
        <w:spacing w:after="100" w:afterAutospacing="1" w:line="240" w:lineRule="auto"/>
        <w:rPr>
          <w:rFonts w:ascii="Helvetica" w:eastAsia="Times New Roman" w:hAnsi="Helvetica" w:cs="Helvetica"/>
          <w:b/>
          <w:color w:val="0A1B32"/>
          <w:sz w:val="27"/>
          <w:szCs w:val="27"/>
          <w:lang w:val="en-US" w:eastAsia="pl-PL"/>
        </w:rPr>
      </w:pP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20. What's the relationship between coupon rate and convexity?</w:t>
      </w:r>
    </w:p>
    <w:p w:rsidR="00B56601" w:rsidRPr="00B56601" w:rsidRDefault="00B56601" w:rsidP="00B56601">
      <w:pPr>
        <w:pStyle w:val="q-text"/>
        <w:shd w:val="clear" w:color="auto" w:fill="FFFFFF"/>
        <w:spacing w:before="0" w:beforeAutospacing="0" w:after="240" w:afterAutospacing="0"/>
        <w:jc w:val="both"/>
        <w:rPr>
          <w:rFonts w:ascii="Helvetica" w:hAnsi="Helvetica" w:cs="Helvetica"/>
          <w:i/>
          <w:color w:val="0A1B32"/>
          <w:sz w:val="27"/>
          <w:szCs w:val="27"/>
          <w:lang w:val="en-US"/>
        </w:rPr>
      </w:pPr>
      <w:r w:rsidRPr="00B56601">
        <w:rPr>
          <w:rFonts w:ascii="Helvetica" w:hAnsi="Helvetica" w:cs="Helvetica"/>
          <w:i/>
          <w:color w:val="0A1B32"/>
          <w:sz w:val="27"/>
          <w:szCs w:val="27"/>
          <w:lang w:val="en-US"/>
        </w:rPr>
        <w:t>A few assumptions needed here first before the relationship holds at all: given yield and given maturity.</w:t>
      </w:r>
    </w:p>
    <w:p w:rsidR="00B56601" w:rsidRPr="00B56601" w:rsidRDefault="00B56601" w:rsidP="00B56601">
      <w:pPr>
        <w:pStyle w:val="q-text"/>
        <w:shd w:val="clear" w:color="auto" w:fill="FFFFFF"/>
        <w:spacing w:before="0" w:beforeAutospacing="0" w:after="240" w:afterAutospacing="0"/>
        <w:jc w:val="both"/>
        <w:rPr>
          <w:rFonts w:ascii="Helvetica" w:hAnsi="Helvetica" w:cs="Helvetica"/>
          <w:i/>
          <w:color w:val="0A1B32"/>
          <w:sz w:val="27"/>
          <w:szCs w:val="27"/>
          <w:lang w:val="en-US"/>
        </w:rPr>
      </w:pPr>
      <w:r w:rsidRPr="00B56601">
        <w:rPr>
          <w:rFonts w:ascii="Helvetica" w:hAnsi="Helvetica" w:cs="Helvetica"/>
          <w:i/>
          <w:color w:val="0A1B32"/>
          <w:sz w:val="27"/>
          <w:szCs w:val="27"/>
          <w:lang w:val="en-US"/>
        </w:rPr>
        <w:t>There are several steps to this logic</w:t>
      </w:r>
    </w:p>
    <w:p w:rsidR="00B56601" w:rsidRPr="00317B89" w:rsidRDefault="00B56601" w:rsidP="00B56601">
      <w:pPr>
        <w:pStyle w:val="q-text"/>
        <w:shd w:val="clear" w:color="auto" w:fill="FFFFFF"/>
        <w:spacing w:before="0" w:beforeAutospacing="0" w:after="240" w:afterAutospacing="0"/>
        <w:jc w:val="both"/>
        <w:rPr>
          <w:rFonts w:ascii="Helvetica" w:hAnsi="Helvetica" w:cs="Helvetica"/>
          <w:b/>
          <w:i/>
          <w:color w:val="0A1B32"/>
          <w:sz w:val="27"/>
          <w:szCs w:val="27"/>
          <w:lang w:val="en-US"/>
        </w:rPr>
      </w:pPr>
      <w:r w:rsidRPr="00317B89">
        <w:rPr>
          <w:rFonts w:ascii="Helvetica" w:hAnsi="Helvetica" w:cs="Helvetica"/>
          <w:b/>
          <w:i/>
          <w:color w:val="0A1B32"/>
          <w:sz w:val="27"/>
          <w:szCs w:val="27"/>
          <w:lang w:val="en-US"/>
        </w:rPr>
        <w:t>1-bond pricing</w:t>
      </w:r>
    </w:p>
    <w:p w:rsidR="00B56601" w:rsidRPr="00B56601" w:rsidRDefault="00B56601" w:rsidP="00B56601">
      <w:pPr>
        <w:pStyle w:val="q-text"/>
        <w:shd w:val="clear" w:color="auto" w:fill="FFFFFF"/>
        <w:spacing w:before="0" w:beforeAutospacing="0" w:after="240" w:afterAutospacing="0"/>
        <w:jc w:val="both"/>
        <w:rPr>
          <w:rFonts w:ascii="Helvetica" w:hAnsi="Helvetica" w:cs="Helvetica"/>
          <w:i/>
          <w:color w:val="0A1B32"/>
          <w:sz w:val="27"/>
          <w:szCs w:val="27"/>
          <w:lang w:val="en-US"/>
        </w:rPr>
      </w:pPr>
      <w:r w:rsidRPr="00B56601">
        <w:rPr>
          <w:rFonts w:ascii="Helvetica" w:hAnsi="Helvetica" w:cs="Helvetica"/>
          <w:i/>
          <w:color w:val="0A1B32"/>
          <w:sz w:val="27"/>
          <w:szCs w:val="27"/>
          <w:lang w:val="en-US"/>
        </w:rPr>
        <w:t xml:space="preserve">Because bond pricing involves discounted value of all cash payments, the further the payments from today, the worse it will be impacted by changing interest rates. Think about discount factor: (1+interest rate)^(-x), the bigger </w:t>
      </w:r>
      <w:r w:rsidRPr="00B56601">
        <w:rPr>
          <w:rFonts w:ascii="Helvetica" w:hAnsi="Helvetica" w:cs="Helvetica"/>
          <w:i/>
          <w:color w:val="0A1B32"/>
          <w:sz w:val="27"/>
          <w:szCs w:val="27"/>
          <w:lang w:val="en-US"/>
        </w:rPr>
        <w:lastRenderedPageBreak/>
        <w:t>the x is, the smaller factor it will be and the smaller the present value of that future cash flow will be.</w:t>
      </w:r>
    </w:p>
    <w:p w:rsidR="00B56601" w:rsidRPr="00317B89" w:rsidRDefault="00B56601" w:rsidP="00B56601">
      <w:pPr>
        <w:pStyle w:val="q-text"/>
        <w:shd w:val="clear" w:color="auto" w:fill="FFFFFF"/>
        <w:spacing w:before="0" w:beforeAutospacing="0" w:after="240" w:afterAutospacing="0"/>
        <w:jc w:val="both"/>
        <w:rPr>
          <w:rFonts w:ascii="Helvetica" w:hAnsi="Helvetica" w:cs="Helvetica"/>
          <w:b/>
          <w:i/>
          <w:color w:val="0A1B32"/>
          <w:sz w:val="27"/>
          <w:szCs w:val="27"/>
          <w:lang w:val="en-US"/>
        </w:rPr>
      </w:pPr>
      <w:r w:rsidRPr="00317B89">
        <w:rPr>
          <w:rFonts w:ascii="Helvetica" w:hAnsi="Helvetica" w:cs="Helvetica"/>
          <w:b/>
          <w:i/>
          <w:color w:val="0A1B32"/>
          <w:sz w:val="27"/>
          <w:szCs w:val="27"/>
          <w:lang w:val="en-US"/>
        </w:rPr>
        <w:t>2-duration</w:t>
      </w:r>
    </w:p>
    <w:p w:rsidR="00B56601" w:rsidRPr="00B56601" w:rsidRDefault="00B56601" w:rsidP="00B56601">
      <w:pPr>
        <w:pStyle w:val="q-text"/>
        <w:shd w:val="clear" w:color="auto" w:fill="FFFFFF"/>
        <w:spacing w:before="0" w:beforeAutospacing="0" w:after="240" w:afterAutospacing="0"/>
        <w:jc w:val="both"/>
        <w:rPr>
          <w:rFonts w:ascii="Helvetica" w:hAnsi="Helvetica" w:cs="Helvetica"/>
          <w:i/>
          <w:color w:val="0A1B32"/>
          <w:sz w:val="27"/>
          <w:szCs w:val="27"/>
          <w:lang w:val="en-US"/>
        </w:rPr>
      </w:pPr>
      <w:r w:rsidRPr="00B56601">
        <w:rPr>
          <w:rFonts w:ascii="Helvetica" w:hAnsi="Helvetica" w:cs="Helvetica"/>
          <w:i/>
          <w:color w:val="0A1B32"/>
          <w:sz w:val="27"/>
          <w:szCs w:val="27"/>
          <w:lang w:val="en-US"/>
        </w:rPr>
        <w:t>Because bond price reacts to change of interest rate, naturally, we will try to come up with a measure to see how sensitive of a particular bond to a changing interest at a particular yield level. This is what duration measures. However, this sensitivity isn’t always the same, because even with the same bond, if it’s price is already very high, then small change of interest will make a big difference in its pricing. Therefore, to even better understand bond’s pricing, we need to introduce a new measure to see how duration moves as interest changes, entering the concept “convexity”. In other words, convexity is the second derivative or “change of change” of interest rates to bond price, if you are familiar that part of the math.</w:t>
      </w:r>
    </w:p>
    <w:p w:rsidR="00B56601" w:rsidRPr="00317B89" w:rsidRDefault="00B56601" w:rsidP="00B56601">
      <w:pPr>
        <w:pStyle w:val="q-text"/>
        <w:shd w:val="clear" w:color="auto" w:fill="FFFFFF"/>
        <w:spacing w:before="0" w:beforeAutospacing="0" w:after="240" w:afterAutospacing="0"/>
        <w:jc w:val="both"/>
        <w:rPr>
          <w:rFonts w:ascii="Helvetica" w:hAnsi="Helvetica" w:cs="Helvetica"/>
          <w:b/>
          <w:i/>
          <w:color w:val="0A1B32"/>
          <w:sz w:val="27"/>
          <w:szCs w:val="27"/>
          <w:lang w:val="en-US"/>
        </w:rPr>
      </w:pPr>
      <w:r w:rsidRPr="00317B89">
        <w:rPr>
          <w:rFonts w:ascii="Helvetica" w:hAnsi="Helvetica" w:cs="Helvetica"/>
          <w:b/>
          <w:i/>
          <w:color w:val="0A1B32"/>
          <w:sz w:val="27"/>
          <w:szCs w:val="27"/>
          <w:lang w:val="en-US"/>
        </w:rPr>
        <w:t>3-coupon and duration</w:t>
      </w:r>
    </w:p>
    <w:p w:rsidR="00B56601" w:rsidRPr="00B56601" w:rsidRDefault="00B56601" w:rsidP="00B56601">
      <w:pPr>
        <w:pStyle w:val="q-text"/>
        <w:shd w:val="clear" w:color="auto" w:fill="FFFFFF"/>
        <w:spacing w:before="0" w:beforeAutospacing="0" w:after="240" w:afterAutospacing="0"/>
        <w:jc w:val="both"/>
        <w:rPr>
          <w:rFonts w:ascii="Helvetica" w:hAnsi="Helvetica" w:cs="Helvetica"/>
          <w:i/>
          <w:color w:val="0A1B32"/>
          <w:sz w:val="27"/>
          <w:szCs w:val="27"/>
          <w:lang w:val="en-US"/>
        </w:rPr>
      </w:pPr>
      <w:r w:rsidRPr="00B56601">
        <w:rPr>
          <w:rFonts w:ascii="Helvetica" w:hAnsi="Helvetica" w:cs="Helvetica"/>
          <w:i/>
          <w:color w:val="0A1B32"/>
          <w:sz w:val="27"/>
          <w:szCs w:val="27"/>
          <w:lang w:val="en-US"/>
        </w:rPr>
        <w:t xml:space="preserve">If interest rate curve flats out throughout the entire maturity, in other words, if the interest rate stays the same, lower coupon increases duration, or the bond with lower coupons is more sensitive to interest rate changes. To see why, think of 2 bonds: one is zero coupon bond of $100 face value, </w:t>
      </w:r>
      <w:proofErr w:type="spellStart"/>
      <w:r w:rsidRPr="00B56601">
        <w:rPr>
          <w:rFonts w:ascii="Helvetica" w:hAnsi="Helvetica" w:cs="Helvetica"/>
          <w:i/>
          <w:color w:val="0A1B32"/>
          <w:sz w:val="27"/>
          <w:szCs w:val="27"/>
          <w:lang w:val="en-US"/>
        </w:rPr>
        <w:t>i.e</w:t>
      </w:r>
      <w:proofErr w:type="spellEnd"/>
      <w:r w:rsidRPr="00B56601">
        <w:rPr>
          <w:rFonts w:ascii="Helvetica" w:hAnsi="Helvetica" w:cs="Helvetica"/>
          <w:i/>
          <w:color w:val="0A1B32"/>
          <w:sz w:val="27"/>
          <w:szCs w:val="27"/>
          <w:lang w:val="en-US"/>
        </w:rPr>
        <w:t xml:space="preserve"> no cash flows before maturity and pays $100 back at the end of 2 years and another one pays $99 at the end of 1st year and $1 at the end of second year. Connecting 1 and 2 explained above, it shouldn’t surprise you that if interest rate changes at the beginning of the second year, the zero coupon bond will adjust more than the second bond, simply because there is more cash up in the air at stake.</w:t>
      </w:r>
    </w:p>
    <w:p w:rsidR="00B56601" w:rsidRPr="00317B89" w:rsidRDefault="00B56601" w:rsidP="00B56601">
      <w:pPr>
        <w:pStyle w:val="q-text"/>
        <w:shd w:val="clear" w:color="auto" w:fill="FFFFFF"/>
        <w:spacing w:before="0" w:beforeAutospacing="0" w:after="240" w:afterAutospacing="0"/>
        <w:jc w:val="both"/>
        <w:rPr>
          <w:rFonts w:ascii="Helvetica" w:hAnsi="Helvetica" w:cs="Helvetica"/>
          <w:b/>
          <w:i/>
          <w:color w:val="0A1B32"/>
          <w:sz w:val="27"/>
          <w:szCs w:val="27"/>
          <w:lang w:val="en-US"/>
        </w:rPr>
      </w:pPr>
      <w:r w:rsidRPr="00317B89">
        <w:rPr>
          <w:rFonts w:ascii="Helvetica" w:hAnsi="Helvetica" w:cs="Helvetica"/>
          <w:b/>
          <w:i/>
          <w:color w:val="0A1B32"/>
          <w:sz w:val="27"/>
          <w:szCs w:val="27"/>
          <w:lang w:val="en-US"/>
        </w:rPr>
        <w:t>4-coupon and convexity</w:t>
      </w:r>
    </w:p>
    <w:p w:rsidR="00B56601" w:rsidRPr="00B56601" w:rsidRDefault="00B56601" w:rsidP="00B56601">
      <w:pPr>
        <w:pStyle w:val="q-text"/>
        <w:shd w:val="clear" w:color="auto" w:fill="FFFFFF"/>
        <w:spacing w:before="0" w:beforeAutospacing="0" w:after="240" w:afterAutospacing="0"/>
        <w:jc w:val="both"/>
        <w:rPr>
          <w:rFonts w:ascii="Helvetica" w:hAnsi="Helvetica" w:cs="Helvetica"/>
          <w:i/>
          <w:color w:val="0A1B32"/>
          <w:sz w:val="27"/>
          <w:szCs w:val="27"/>
          <w:lang w:val="en-US"/>
        </w:rPr>
      </w:pPr>
      <w:r w:rsidRPr="00B56601">
        <w:rPr>
          <w:rFonts w:ascii="Helvetica" w:hAnsi="Helvetica" w:cs="Helvetica"/>
          <w:i/>
          <w:color w:val="0A1B32"/>
          <w:sz w:val="27"/>
          <w:szCs w:val="27"/>
          <w:lang w:val="en-US"/>
        </w:rPr>
        <w:t>If you understand everything above, the answer should come naturally to you now. If duration reacts to coupon level and convexity is measuring changes of duration. Then convexity also reacts to coupon. As explained above, lower coupon, the higher the convexity.</w:t>
      </w:r>
    </w:p>
    <w:p w:rsidR="00B56601" w:rsidRDefault="00B56601" w:rsidP="00B56601">
      <w:pPr>
        <w:pStyle w:val="q-text"/>
        <w:shd w:val="clear" w:color="auto" w:fill="FFFFFF"/>
        <w:spacing w:before="0" w:beforeAutospacing="0" w:after="0" w:afterAutospacing="0"/>
        <w:jc w:val="both"/>
        <w:rPr>
          <w:rFonts w:ascii="Helvetica" w:hAnsi="Helvetica" w:cs="Helvetica"/>
          <w:i/>
          <w:color w:val="0A1B32"/>
          <w:sz w:val="27"/>
          <w:szCs w:val="27"/>
          <w:lang w:val="en-US"/>
        </w:rPr>
      </w:pPr>
      <w:r w:rsidRPr="00B56601">
        <w:rPr>
          <w:rFonts w:ascii="Helvetica" w:hAnsi="Helvetica" w:cs="Helvetica"/>
          <w:i/>
          <w:color w:val="0A1B32"/>
          <w:sz w:val="27"/>
          <w:szCs w:val="27"/>
          <w:lang w:val="en-US"/>
        </w:rPr>
        <w:t>This is just one of the ways to look at. If you know the calculation of effective convexity, the explanation will be even simpler.</w:t>
      </w:r>
    </w:p>
    <w:p w:rsidR="00B56601" w:rsidRPr="00754929" w:rsidRDefault="00B56601" w:rsidP="00B56601">
      <w:pPr>
        <w:pStyle w:val="q-text"/>
        <w:shd w:val="clear" w:color="auto" w:fill="FFFFFF"/>
        <w:spacing w:before="0" w:beforeAutospacing="0" w:after="0" w:afterAutospacing="0"/>
        <w:jc w:val="both"/>
        <w:rPr>
          <w:rFonts w:ascii="Helvetica" w:hAnsi="Helvetica" w:cs="Helvetica"/>
          <w:i/>
          <w:color w:val="0A1B32"/>
          <w:sz w:val="27"/>
          <w:szCs w:val="27"/>
          <w:lang w:val="en-US"/>
        </w:rPr>
      </w:pP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21. What's the meaning of duration? Is it constant for all yields?</w:t>
      </w:r>
    </w:p>
    <w:p w:rsidR="00345671" w:rsidRDefault="00345671" w:rsidP="00AF7C69">
      <w:pPr>
        <w:spacing w:after="100" w:afterAutospacing="1" w:line="240" w:lineRule="auto"/>
        <w:jc w:val="both"/>
        <w:rPr>
          <w:rFonts w:ascii="Helvetica" w:eastAsia="Times New Roman" w:hAnsi="Helvetica" w:cs="Helvetica"/>
          <w:i/>
          <w:color w:val="0A1B32"/>
          <w:sz w:val="27"/>
          <w:szCs w:val="27"/>
          <w:lang w:val="en-US" w:eastAsia="pl-PL"/>
        </w:rPr>
      </w:pPr>
      <w:r w:rsidRPr="00345671">
        <w:rPr>
          <w:rFonts w:ascii="Helvetica" w:eastAsia="Times New Roman" w:hAnsi="Helvetica" w:cs="Helvetica"/>
          <w:i/>
          <w:color w:val="0A1B32"/>
          <w:sz w:val="27"/>
          <w:szCs w:val="27"/>
          <w:lang w:val="en-US" w:eastAsia="pl-PL"/>
        </w:rPr>
        <w:t xml:space="preserve">Duration will be higher the lower its yield. </w:t>
      </w:r>
    </w:p>
    <w:p w:rsidR="00345671" w:rsidRDefault="00345671" w:rsidP="00AF7C69">
      <w:pPr>
        <w:spacing w:after="100" w:afterAutospacing="1" w:line="240" w:lineRule="auto"/>
        <w:jc w:val="both"/>
        <w:rPr>
          <w:rFonts w:ascii="Helvetica" w:eastAsia="Times New Roman" w:hAnsi="Helvetica" w:cs="Helvetica"/>
          <w:i/>
          <w:color w:val="0A1B32"/>
          <w:sz w:val="27"/>
          <w:szCs w:val="27"/>
          <w:lang w:val="en-US" w:eastAsia="pl-PL"/>
        </w:rPr>
      </w:pPr>
      <w:r w:rsidRPr="00345671">
        <w:rPr>
          <w:rFonts w:ascii="Helvetica" w:eastAsia="Times New Roman" w:hAnsi="Helvetica" w:cs="Helvetica"/>
          <w:i/>
          <w:color w:val="0A1B32"/>
          <w:sz w:val="27"/>
          <w:szCs w:val="27"/>
          <w:lang w:val="en-US" w:eastAsia="pl-PL"/>
        </w:rPr>
        <w:t xml:space="preserve">Duration will also be higher the longer its maturity. </w:t>
      </w:r>
    </w:p>
    <w:p w:rsidR="00345671" w:rsidRPr="00754929" w:rsidRDefault="00345671" w:rsidP="00AF7C69">
      <w:pPr>
        <w:spacing w:after="100" w:afterAutospacing="1" w:line="240" w:lineRule="auto"/>
        <w:jc w:val="both"/>
        <w:rPr>
          <w:rFonts w:ascii="Helvetica" w:eastAsia="Times New Roman" w:hAnsi="Helvetica" w:cs="Helvetica"/>
          <w:i/>
          <w:color w:val="0A1B32"/>
          <w:sz w:val="27"/>
          <w:szCs w:val="27"/>
          <w:lang w:val="en-US" w:eastAsia="pl-PL"/>
        </w:rPr>
      </w:pPr>
      <w:r w:rsidRPr="00345671">
        <w:rPr>
          <w:rFonts w:ascii="Helvetica" w:eastAsia="Times New Roman" w:hAnsi="Helvetica" w:cs="Helvetica"/>
          <w:i/>
          <w:color w:val="0A1B32"/>
          <w:sz w:val="27"/>
          <w:szCs w:val="27"/>
          <w:lang w:val="en-US" w:eastAsia="pl-PL"/>
        </w:rPr>
        <w:lastRenderedPageBreak/>
        <w:t>The following scenarios of comparing two bonds should help clarify how these three traits affect a bond's duration: If the coupon and yield are the same, duration increases with time left to maturity.</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22. What's the meaning of partial duration?</w:t>
      </w:r>
    </w:p>
    <w:p w:rsidR="00B97369" w:rsidRPr="00B97369" w:rsidRDefault="00B97369" w:rsidP="00AF7C69">
      <w:pPr>
        <w:pStyle w:val="NormalWeb"/>
        <w:shd w:val="clear" w:color="auto" w:fill="FFFFFF"/>
        <w:jc w:val="both"/>
        <w:rPr>
          <w:rFonts w:ascii="Helvetica" w:hAnsi="Helvetica" w:cs="Helvetica"/>
          <w:i/>
          <w:color w:val="0A1B32"/>
          <w:sz w:val="27"/>
          <w:szCs w:val="27"/>
          <w:lang w:val="en-US"/>
        </w:rPr>
      </w:pPr>
      <w:r w:rsidRPr="00B97369">
        <w:rPr>
          <w:rFonts w:ascii="Helvetica" w:hAnsi="Helvetica" w:cs="Helvetica"/>
          <w:i/>
          <w:color w:val="0A1B32"/>
          <w:sz w:val="27"/>
          <w:szCs w:val="27"/>
          <w:lang w:val="en-US"/>
        </w:rPr>
        <w:t>First, you need to clarify what you mean by, simply, “duration”. There are three basic types of duration (and several other specialized versions):</w:t>
      </w:r>
    </w:p>
    <w:p w:rsidR="00B97369" w:rsidRPr="00B97369" w:rsidRDefault="00B97369" w:rsidP="00AF7C69">
      <w:pPr>
        <w:numPr>
          <w:ilvl w:val="0"/>
          <w:numId w:val="10"/>
        </w:numPr>
        <w:shd w:val="clear" w:color="auto" w:fill="FFFFFF"/>
        <w:spacing w:before="100" w:beforeAutospacing="1" w:after="100" w:afterAutospacing="1" w:line="240" w:lineRule="auto"/>
        <w:ind w:left="300"/>
        <w:jc w:val="both"/>
        <w:rPr>
          <w:rFonts w:ascii="Helvetica" w:eastAsia="Times New Roman" w:hAnsi="Helvetica" w:cs="Helvetica"/>
          <w:i/>
          <w:color w:val="0A1B32"/>
          <w:sz w:val="27"/>
          <w:szCs w:val="27"/>
          <w:lang w:val="en-US" w:eastAsia="pl-PL"/>
        </w:rPr>
      </w:pPr>
      <w:r w:rsidRPr="00B97369">
        <w:rPr>
          <w:rFonts w:ascii="Helvetica" w:eastAsia="Times New Roman" w:hAnsi="Helvetica" w:cs="Helvetica"/>
          <w:b/>
          <w:bCs/>
          <w:i/>
          <w:color w:val="0A1B32"/>
          <w:sz w:val="27"/>
          <w:szCs w:val="27"/>
          <w:lang w:val="en-US" w:eastAsia="pl-PL"/>
        </w:rPr>
        <w:t>Macaulay duration</w:t>
      </w:r>
      <w:r w:rsidRPr="00B97369">
        <w:rPr>
          <w:rFonts w:ascii="Helvetica" w:eastAsia="Times New Roman" w:hAnsi="Helvetica" w:cs="Helvetica"/>
          <w:i/>
          <w:color w:val="0A1B32"/>
          <w:sz w:val="27"/>
          <w:szCs w:val="27"/>
          <w:lang w:val="en-US" w:eastAsia="pl-PL"/>
        </w:rPr>
        <w:t> : the weighted-average time to receipt of cash flows, using the present value of each cash flow as the weight on the time until it’s received.</w:t>
      </w:r>
    </w:p>
    <w:p w:rsidR="00B97369" w:rsidRPr="00B97369" w:rsidRDefault="00B97369" w:rsidP="00AF7C69">
      <w:pPr>
        <w:numPr>
          <w:ilvl w:val="0"/>
          <w:numId w:val="10"/>
        </w:numPr>
        <w:shd w:val="clear" w:color="auto" w:fill="FFFFFF"/>
        <w:spacing w:before="100" w:beforeAutospacing="1" w:after="100" w:afterAutospacing="1" w:line="240" w:lineRule="auto"/>
        <w:ind w:left="300"/>
        <w:jc w:val="both"/>
        <w:rPr>
          <w:rFonts w:ascii="Helvetica" w:eastAsia="Times New Roman" w:hAnsi="Helvetica" w:cs="Helvetica"/>
          <w:i/>
          <w:color w:val="0A1B32"/>
          <w:sz w:val="27"/>
          <w:szCs w:val="27"/>
          <w:lang w:val="en-US" w:eastAsia="pl-PL"/>
        </w:rPr>
      </w:pPr>
      <w:r w:rsidRPr="00B97369">
        <w:rPr>
          <w:rFonts w:ascii="Helvetica" w:eastAsia="Times New Roman" w:hAnsi="Helvetica" w:cs="Helvetica"/>
          <w:b/>
          <w:bCs/>
          <w:i/>
          <w:color w:val="0A1B32"/>
          <w:sz w:val="27"/>
          <w:szCs w:val="27"/>
          <w:lang w:val="en-US" w:eastAsia="pl-PL"/>
        </w:rPr>
        <w:t>Modified duration</w:t>
      </w:r>
      <w:r w:rsidRPr="00B97369">
        <w:rPr>
          <w:rFonts w:ascii="Helvetica" w:eastAsia="Times New Roman" w:hAnsi="Helvetica" w:cs="Helvetica"/>
          <w:i/>
          <w:color w:val="0A1B32"/>
          <w:sz w:val="27"/>
          <w:szCs w:val="27"/>
          <w:lang w:val="en-US" w:eastAsia="pl-PL"/>
        </w:rPr>
        <w:t> : (roughly) the (negative of the) percentage change in a bond’s price for a 1% change in its yield to maturity, assuming that its cash flows don’t change.</w:t>
      </w:r>
    </w:p>
    <w:p w:rsidR="00B97369" w:rsidRPr="00B97369" w:rsidRDefault="00B97369" w:rsidP="00AF7C69">
      <w:pPr>
        <w:numPr>
          <w:ilvl w:val="0"/>
          <w:numId w:val="10"/>
        </w:numPr>
        <w:shd w:val="clear" w:color="auto" w:fill="FFFFFF"/>
        <w:spacing w:before="100" w:beforeAutospacing="1" w:after="100" w:afterAutospacing="1" w:line="240" w:lineRule="auto"/>
        <w:ind w:left="300"/>
        <w:jc w:val="both"/>
        <w:rPr>
          <w:rFonts w:ascii="Helvetica" w:eastAsia="Times New Roman" w:hAnsi="Helvetica" w:cs="Helvetica"/>
          <w:i/>
          <w:color w:val="0A1B32"/>
          <w:sz w:val="27"/>
          <w:szCs w:val="27"/>
          <w:lang w:val="en-US" w:eastAsia="pl-PL"/>
        </w:rPr>
      </w:pPr>
      <w:r w:rsidRPr="00B97369">
        <w:rPr>
          <w:rFonts w:ascii="Helvetica" w:eastAsia="Times New Roman" w:hAnsi="Helvetica" w:cs="Helvetica"/>
          <w:b/>
          <w:bCs/>
          <w:i/>
          <w:color w:val="0A1B32"/>
          <w:sz w:val="27"/>
          <w:szCs w:val="27"/>
          <w:lang w:val="en-US" w:eastAsia="pl-PL"/>
        </w:rPr>
        <w:t>Effective duration</w:t>
      </w:r>
      <w:r w:rsidRPr="00B97369">
        <w:rPr>
          <w:rFonts w:ascii="Helvetica" w:eastAsia="Times New Roman" w:hAnsi="Helvetica" w:cs="Helvetica"/>
          <w:i/>
          <w:color w:val="0A1B32"/>
          <w:sz w:val="27"/>
          <w:szCs w:val="27"/>
          <w:lang w:val="en-US" w:eastAsia="pl-PL"/>
        </w:rPr>
        <w:t> : (roughly) the (negative of the) percentage change in a bond’s price for a 1% change in its yield to maturity, allowing that its cash flows might change.</w:t>
      </w:r>
    </w:p>
    <w:p w:rsidR="00B97369" w:rsidRPr="00B97369" w:rsidRDefault="00B97369" w:rsidP="00AF7C69">
      <w:pPr>
        <w:pStyle w:val="NormalWeb"/>
        <w:shd w:val="clear" w:color="auto" w:fill="FFFFFF"/>
        <w:jc w:val="both"/>
        <w:rPr>
          <w:rFonts w:ascii="Helvetica" w:hAnsi="Helvetica" w:cs="Helvetica"/>
          <w:i/>
          <w:color w:val="0A1B32"/>
          <w:sz w:val="27"/>
          <w:szCs w:val="27"/>
          <w:lang w:val="en-US"/>
        </w:rPr>
      </w:pPr>
      <w:r w:rsidRPr="00B97369">
        <w:rPr>
          <w:rFonts w:ascii="Helvetica" w:hAnsi="Helvetica" w:cs="Helvetica"/>
          <w:i/>
          <w:color w:val="0A1B32"/>
          <w:sz w:val="27"/>
          <w:szCs w:val="27"/>
          <w:lang w:val="en-US"/>
        </w:rPr>
        <w:t>All of these measures can be applied to bonds of any sort (though if the bond’s cash flows can change when its YTM changes, Macaulay duration and modified duration aren’t appropriate).</w:t>
      </w:r>
    </w:p>
    <w:p w:rsidR="00317B89" w:rsidRDefault="00B97369" w:rsidP="00AF7C69">
      <w:pPr>
        <w:pStyle w:val="NormalWeb"/>
        <w:shd w:val="clear" w:color="auto" w:fill="FFFFFF"/>
        <w:jc w:val="both"/>
        <w:rPr>
          <w:rFonts w:ascii="Helvetica" w:hAnsi="Helvetica" w:cs="Helvetica"/>
          <w:i/>
          <w:color w:val="0A1B32"/>
          <w:sz w:val="27"/>
          <w:szCs w:val="27"/>
          <w:lang w:val="en-US"/>
        </w:rPr>
      </w:pPr>
      <w:r w:rsidRPr="00B97369">
        <w:rPr>
          <w:rFonts w:ascii="Helvetica" w:hAnsi="Helvetica" w:cs="Helvetica"/>
          <w:i/>
          <w:color w:val="0A1B32"/>
          <w:sz w:val="27"/>
          <w:szCs w:val="27"/>
          <w:lang w:val="en-US"/>
        </w:rPr>
        <w:t>These three are the only ones that appear in the Level I curriculum. I wrote an article on them that may be of some use: </w:t>
      </w:r>
    </w:p>
    <w:p w:rsidR="00B97369" w:rsidRPr="00B97369" w:rsidRDefault="00B97369" w:rsidP="00AF7C69">
      <w:pPr>
        <w:pStyle w:val="NormalWeb"/>
        <w:shd w:val="clear" w:color="auto" w:fill="FFFFFF"/>
        <w:jc w:val="both"/>
        <w:rPr>
          <w:rFonts w:ascii="Helvetica" w:hAnsi="Helvetica" w:cs="Helvetica"/>
          <w:i/>
          <w:color w:val="0A1B32"/>
          <w:sz w:val="27"/>
          <w:szCs w:val="27"/>
          <w:lang w:val="en-US"/>
        </w:rPr>
      </w:pPr>
      <w:hyperlink r:id="rId10" w:history="1">
        <w:r w:rsidRPr="00B97369">
          <w:rPr>
            <w:rFonts w:ascii="Helvetica" w:hAnsi="Helvetica" w:cs="Helvetica"/>
            <w:i/>
            <w:color w:val="0A1B32"/>
            <w:sz w:val="27"/>
            <w:szCs w:val="27"/>
            <w:lang w:val="en-US"/>
          </w:rPr>
          <w:t>http://financialexamhelp123.com/macaulay-duration-modified-duration-and-effective-duration/ </w:t>
        </w:r>
      </w:hyperlink>
      <w:r w:rsidRPr="00B97369">
        <w:rPr>
          <w:rFonts w:ascii="Helvetica" w:hAnsi="Helvetica" w:cs="Helvetica"/>
          <w:i/>
          <w:color w:val="0A1B32"/>
          <w:sz w:val="27"/>
          <w:szCs w:val="27"/>
          <w:lang w:val="en-US"/>
        </w:rPr>
        <w:t>.</w:t>
      </w:r>
    </w:p>
    <w:p w:rsidR="00B97369" w:rsidRPr="00B97369" w:rsidRDefault="00B97369" w:rsidP="00AF7C69">
      <w:pPr>
        <w:pStyle w:val="NormalWeb"/>
        <w:shd w:val="clear" w:color="auto" w:fill="FFFFFF"/>
        <w:jc w:val="both"/>
        <w:rPr>
          <w:rFonts w:ascii="Helvetica" w:hAnsi="Helvetica" w:cs="Helvetica"/>
          <w:i/>
          <w:color w:val="0A1B32"/>
          <w:sz w:val="27"/>
          <w:szCs w:val="27"/>
          <w:lang w:val="en-US"/>
        </w:rPr>
      </w:pPr>
      <w:r w:rsidRPr="00B97369">
        <w:rPr>
          <w:rFonts w:ascii="Helvetica" w:hAnsi="Helvetica" w:cs="Helvetica"/>
          <w:i/>
          <w:color w:val="0A1B32"/>
          <w:sz w:val="27"/>
          <w:szCs w:val="27"/>
          <w:lang w:val="en-US"/>
        </w:rPr>
        <w:t>Next we have spread duration and key-rate (what you’re calling “partial”) duration; these don’t appear until the Level II curriculum:</w:t>
      </w:r>
    </w:p>
    <w:p w:rsidR="00B97369" w:rsidRPr="00B97369" w:rsidRDefault="00B97369" w:rsidP="00AF7C69">
      <w:pPr>
        <w:numPr>
          <w:ilvl w:val="0"/>
          <w:numId w:val="11"/>
        </w:numPr>
        <w:shd w:val="clear" w:color="auto" w:fill="FFFFFF"/>
        <w:spacing w:before="100" w:beforeAutospacing="1" w:after="100" w:afterAutospacing="1" w:line="240" w:lineRule="auto"/>
        <w:ind w:left="300"/>
        <w:jc w:val="both"/>
        <w:rPr>
          <w:rFonts w:ascii="Helvetica" w:eastAsia="Times New Roman" w:hAnsi="Helvetica" w:cs="Helvetica"/>
          <w:i/>
          <w:color w:val="0A1B32"/>
          <w:sz w:val="27"/>
          <w:szCs w:val="27"/>
          <w:lang w:val="en-US" w:eastAsia="pl-PL"/>
        </w:rPr>
      </w:pPr>
      <w:r w:rsidRPr="00B97369">
        <w:rPr>
          <w:rFonts w:ascii="Helvetica" w:eastAsia="Times New Roman" w:hAnsi="Helvetica" w:cs="Helvetica"/>
          <w:b/>
          <w:bCs/>
          <w:i/>
          <w:color w:val="0A1B32"/>
          <w:sz w:val="27"/>
          <w:szCs w:val="27"/>
          <w:lang w:val="en-US" w:eastAsia="pl-PL"/>
        </w:rPr>
        <w:t>Spread duration</w:t>
      </w:r>
      <w:r w:rsidRPr="00B97369">
        <w:rPr>
          <w:rFonts w:ascii="Helvetica" w:eastAsia="Times New Roman" w:hAnsi="Helvetica" w:cs="Helvetica"/>
          <w:i/>
          <w:color w:val="0A1B32"/>
          <w:sz w:val="27"/>
          <w:szCs w:val="27"/>
          <w:lang w:val="en-US" w:eastAsia="pl-PL"/>
        </w:rPr>
        <w:t> : (roughly) the (negative of the) percentage change in a bond’s price for a 1% change in its spread over a Treasury of the same maturity; although nobody ever says so, you can have </w:t>
      </w:r>
      <w:r w:rsidRPr="00B97369">
        <w:rPr>
          <w:rFonts w:ascii="Helvetica" w:eastAsia="Times New Roman" w:hAnsi="Helvetica" w:cs="Helvetica"/>
          <w:iCs/>
          <w:color w:val="0A1B32"/>
          <w:sz w:val="27"/>
          <w:szCs w:val="27"/>
          <w:lang w:val="en-US" w:eastAsia="pl-PL"/>
        </w:rPr>
        <w:t>modified</w:t>
      </w:r>
      <w:r w:rsidRPr="00B97369">
        <w:rPr>
          <w:rFonts w:ascii="Helvetica" w:eastAsia="Times New Roman" w:hAnsi="Helvetica" w:cs="Helvetica"/>
          <w:i/>
          <w:color w:val="0A1B32"/>
          <w:sz w:val="27"/>
          <w:szCs w:val="27"/>
          <w:lang w:val="en-US" w:eastAsia="pl-PL"/>
        </w:rPr>
        <w:t> spread duration (assuming that its cash flows don’t change) and </w:t>
      </w:r>
      <w:r w:rsidRPr="00B97369">
        <w:rPr>
          <w:rFonts w:ascii="Helvetica" w:eastAsia="Times New Roman" w:hAnsi="Helvetica" w:cs="Helvetica"/>
          <w:iCs/>
          <w:color w:val="0A1B32"/>
          <w:sz w:val="27"/>
          <w:szCs w:val="27"/>
          <w:lang w:val="en-US" w:eastAsia="pl-PL"/>
        </w:rPr>
        <w:t>effective</w:t>
      </w:r>
      <w:r w:rsidRPr="00B97369">
        <w:rPr>
          <w:rFonts w:ascii="Helvetica" w:eastAsia="Times New Roman" w:hAnsi="Helvetica" w:cs="Helvetica"/>
          <w:i/>
          <w:color w:val="0A1B32"/>
          <w:sz w:val="27"/>
          <w:szCs w:val="27"/>
          <w:lang w:val="en-US" w:eastAsia="pl-PL"/>
        </w:rPr>
        <w:t> spread duration (allowing that its cash flows might change).</w:t>
      </w:r>
    </w:p>
    <w:p w:rsidR="00B97369" w:rsidRPr="00B97369" w:rsidRDefault="00B97369" w:rsidP="00AF7C69">
      <w:pPr>
        <w:numPr>
          <w:ilvl w:val="0"/>
          <w:numId w:val="11"/>
        </w:numPr>
        <w:shd w:val="clear" w:color="auto" w:fill="FFFFFF"/>
        <w:spacing w:before="100" w:beforeAutospacing="1" w:after="100" w:afterAutospacing="1" w:line="240" w:lineRule="auto"/>
        <w:ind w:left="300"/>
        <w:jc w:val="both"/>
        <w:rPr>
          <w:rFonts w:ascii="Helvetica" w:eastAsia="Times New Roman" w:hAnsi="Helvetica" w:cs="Helvetica"/>
          <w:i/>
          <w:color w:val="0A1B32"/>
          <w:sz w:val="27"/>
          <w:szCs w:val="27"/>
          <w:lang w:val="en-US" w:eastAsia="pl-PL"/>
        </w:rPr>
      </w:pPr>
      <w:r w:rsidRPr="00B97369">
        <w:rPr>
          <w:rFonts w:ascii="Helvetica" w:eastAsia="Times New Roman" w:hAnsi="Helvetica" w:cs="Helvetica"/>
          <w:b/>
          <w:bCs/>
          <w:i/>
          <w:color w:val="0A1B32"/>
          <w:sz w:val="27"/>
          <w:szCs w:val="27"/>
          <w:lang w:val="en-US" w:eastAsia="pl-PL"/>
        </w:rPr>
        <w:t>Key-rate duration</w:t>
      </w:r>
      <w:r w:rsidRPr="00B97369">
        <w:rPr>
          <w:rFonts w:ascii="Helvetica" w:eastAsia="Times New Roman" w:hAnsi="Helvetica" w:cs="Helvetica"/>
          <w:i/>
          <w:color w:val="0A1B32"/>
          <w:sz w:val="27"/>
          <w:szCs w:val="27"/>
          <w:lang w:val="en-US" w:eastAsia="pl-PL"/>
        </w:rPr>
        <w:t> : (roughly) the (negative of the) percentage change in a bond’s price for a 1% change in the YTM of a Treasury of a given maturity; again, you can have </w:t>
      </w:r>
      <w:r w:rsidRPr="00B97369">
        <w:rPr>
          <w:rFonts w:ascii="Helvetica" w:eastAsia="Times New Roman" w:hAnsi="Helvetica" w:cs="Helvetica"/>
          <w:iCs/>
          <w:color w:val="0A1B32"/>
          <w:sz w:val="27"/>
          <w:szCs w:val="27"/>
          <w:lang w:val="en-US" w:eastAsia="pl-PL"/>
        </w:rPr>
        <w:t>modified</w:t>
      </w:r>
      <w:r w:rsidRPr="00B97369">
        <w:rPr>
          <w:rFonts w:ascii="Helvetica" w:eastAsia="Times New Roman" w:hAnsi="Helvetica" w:cs="Helvetica"/>
          <w:i/>
          <w:color w:val="0A1B32"/>
          <w:sz w:val="27"/>
          <w:szCs w:val="27"/>
          <w:lang w:val="en-US" w:eastAsia="pl-PL"/>
        </w:rPr>
        <w:t> key-rate duration (assuming that its cash flows don’t change) and </w:t>
      </w:r>
      <w:r w:rsidRPr="00B97369">
        <w:rPr>
          <w:rFonts w:ascii="Helvetica" w:eastAsia="Times New Roman" w:hAnsi="Helvetica" w:cs="Helvetica"/>
          <w:iCs/>
          <w:color w:val="0A1B32"/>
          <w:sz w:val="27"/>
          <w:szCs w:val="27"/>
          <w:lang w:val="en-US" w:eastAsia="pl-PL"/>
        </w:rPr>
        <w:t>effective</w:t>
      </w:r>
      <w:r w:rsidRPr="00B97369">
        <w:rPr>
          <w:rFonts w:ascii="Helvetica" w:eastAsia="Times New Roman" w:hAnsi="Helvetica" w:cs="Helvetica"/>
          <w:i/>
          <w:color w:val="0A1B32"/>
          <w:sz w:val="27"/>
          <w:szCs w:val="27"/>
          <w:lang w:val="en-US" w:eastAsia="pl-PL"/>
        </w:rPr>
        <w:t> key-rate duration (allowing that its cash flows might change).</w:t>
      </w:r>
    </w:p>
    <w:p w:rsidR="00B97369" w:rsidRPr="00754929" w:rsidRDefault="00B97369" w:rsidP="00AF7C69">
      <w:pPr>
        <w:pStyle w:val="NormalWeb"/>
        <w:shd w:val="clear" w:color="auto" w:fill="FFFFFF"/>
        <w:jc w:val="both"/>
        <w:rPr>
          <w:rFonts w:ascii="Helvetica" w:hAnsi="Helvetica" w:cs="Helvetica"/>
          <w:i/>
          <w:color w:val="0A1B32"/>
          <w:sz w:val="27"/>
          <w:szCs w:val="27"/>
          <w:lang w:val="en-US"/>
        </w:rPr>
      </w:pPr>
      <w:r w:rsidRPr="00B97369">
        <w:rPr>
          <w:rFonts w:ascii="Helvetica" w:hAnsi="Helvetica" w:cs="Helvetica"/>
          <w:i/>
          <w:color w:val="0A1B32"/>
          <w:sz w:val="27"/>
          <w:szCs w:val="27"/>
          <w:lang w:val="en-US"/>
        </w:rPr>
        <w:t>Spread duration is of interest only for risky bonds, and key-rate duration is generally of interest only for portfolios of bonds.</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lastRenderedPageBreak/>
        <w:t>23. What are the limits of duration as a risk measure?</w:t>
      </w:r>
    </w:p>
    <w:p w:rsidR="006E3A0B" w:rsidRDefault="006E3A0B" w:rsidP="002B0A19">
      <w:pPr>
        <w:jc w:val="both"/>
        <w:rPr>
          <w:rFonts w:ascii="Helvetica" w:eastAsia="Times New Roman" w:hAnsi="Helvetica" w:cs="Helvetica"/>
          <w:i/>
          <w:color w:val="0A1B32"/>
          <w:sz w:val="27"/>
          <w:szCs w:val="27"/>
          <w:lang w:val="en-US" w:eastAsia="pl-PL"/>
        </w:rPr>
      </w:pPr>
      <w:r w:rsidRPr="006E3A0B">
        <w:rPr>
          <w:rFonts w:ascii="Helvetica" w:eastAsia="Times New Roman" w:hAnsi="Helvetica" w:cs="Helvetica"/>
          <w:i/>
          <w:color w:val="0A1B32"/>
          <w:sz w:val="27"/>
          <w:szCs w:val="27"/>
          <w:lang w:val="en-US" w:eastAsia="pl-PL"/>
        </w:rPr>
        <w:t>The main limitation of duration is that it assumes a linear relationship between interest rates and bond price. In reality, the relationship is likely to be curvilinear. The extent of the deviation from a linear relationship is known as convexity. The more convex the relationship between interest rates and bond price, the more inaccurate duration is for measuring interest rate sensitivity.</w:t>
      </w:r>
    </w:p>
    <w:p w:rsidR="002B0A19" w:rsidRPr="002B0A19" w:rsidRDefault="002B0A19" w:rsidP="002B0A19">
      <w:pPr>
        <w:pStyle w:val="NormalWeb"/>
        <w:shd w:val="clear" w:color="auto" w:fill="FFFFFF"/>
        <w:jc w:val="both"/>
        <w:rPr>
          <w:rFonts w:ascii="Helvetica" w:hAnsi="Helvetica" w:cs="Helvetica"/>
          <w:i/>
          <w:color w:val="0A1B32"/>
          <w:sz w:val="27"/>
          <w:szCs w:val="27"/>
          <w:lang w:val="en-US"/>
        </w:rPr>
      </w:pPr>
      <w:r w:rsidRPr="002B0A19">
        <w:rPr>
          <w:rFonts w:ascii="Helvetica" w:hAnsi="Helvetica" w:cs="Helvetica"/>
          <w:i/>
          <w:color w:val="0A1B32"/>
          <w:sz w:val="27"/>
          <w:szCs w:val="27"/>
          <w:lang w:val="en-US"/>
        </w:rPr>
        <w:t>The sensitivity of bond prices to changes in interest rates is dependent on their redemption dates. Bonds which are due to be redeemed at a later date are more price-sensitive to interest rate changes, and therefore are riskier.</w:t>
      </w:r>
    </w:p>
    <w:p w:rsidR="002B0A19" w:rsidRPr="002B0A19" w:rsidRDefault="002B0A19" w:rsidP="002B0A19">
      <w:pPr>
        <w:pStyle w:val="NormalWeb"/>
        <w:shd w:val="clear" w:color="auto" w:fill="FFFFFF"/>
        <w:jc w:val="both"/>
        <w:rPr>
          <w:rFonts w:ascii="Helvetica" w:hAnsi="Helvetica" w:cs="Helvetica"/>
          <w:i/>
          <w:color w:val="0A1B32"/>
          <w:sz w:val="27"/>
          <w:szCs w:val="27"/>
          <w:lang w:val="en-US"/>
        </w:rPr>
      </w:pPr>
      <w:r w:rsidRPr="002B0A19">
        <w:rPr>
          <w:rFonts w:ascii="Helvetica" w:hAnsi="Helvetica" w:cs="Helvetica"/>
          <w:i/>
          <w:color w:val="0A1B32"/>
          <w:sz w:val="27"/>
          <w:szCs w:val="27"/>
          <w:lang w:val="en-US"/>
        </w:rPr>
        <w:t xml:space="preserve">Duration measures the average time it takes for a bond to pay its coupons and principal and therefore measures the redemption period of a bond. It </w:t>
      </w:r>
      <w:proofErr w:type="spellStart"/>
      <w:r w:rsidRPr="002B0A19">
        <w:rPr>
          <w:rFonts w:ascii="Helvetica" w:hAnsi="Helvetica" w:cs="Helvetica"/>
          <w:i/>
          <w:color w:val="0A1B32"/>
          <w:sz w:val="27"/>
          <w:szCs w:val="27"/>
          <w:lang w:val="en-US"/>
        </w:rPr>
        <w:t>recognises</w:t>
      </w:r>
      <w:proofErr w:type="spellEnd"/>
      <w:r w:rsidRPr="002B0A19">
        <w:rPr>
          <w:rFonts w:ascii="Helvetica" w:hAnsi="Helvetica" w:cs="Helvetica"/>
          <w:i/>
          <w:color w:val="0A1B32"/>
          <w:sz w:val="27"/>
          <w:szCs w:val="27"/>
          <w:lang w:val="en-US"/>
        </w:rPr>
        <w:t xml:space="preserve"> that bonds which pay higher coupons effectively mature sooner compared to bonds which pay lower coupons, even if the redemption dates of the bonds are the same. This is because a higher proportion of the higher coupon bond's income is received sooner. Therefore these bonds are less sensitive to interest rate changes and will have a lower duration.</w:t>
      </w:r>
    </w:p>
    <w:p w:rsidR="002B0A19" w:rsidRPr="002B0A19" w:rsidRDefault="002B0A19" w:rsidP="002B0A19">
      <w:pPr>
        <w:pStyle w:val="NormalWeb"/>
        <w:shd w:val="clear" w:color="auto" w:fill="FFFFFF"/>
        <w:jc w:val="both"/>
        <w:rPr>
          <w:rFonts w:ascii="Helvetica" w:hAnsi="Helvetica" w:cs="Helvetica"/>
          <w:i/>
          <w:color w:val="0A1B32"/>
          <w:sz w:val="27"/>
          <w:szCs w:val="27"/>
          <w:lang w:val="en-US"/>
        </w:rPr>
      </w:pPr>
      <w:r w:rsidRPr="002B0A19">
        <w:rPr>
          <w:rFonts w:ascii="Helvetica" w:hAnsi="Helvetica" w:cs="Helvetica"/>
          <w:i/>
          <w:color w:val="0A1B32"/>
          <w:sz w:val="27"/>
          <w:szCs w:val="27"/>
          <w:lang w:val="en-US"/>
        </w:rPr>
        <w:t>Duration can be used to assess the change in the value of a bond when interest rates change using the following formula:</w:t>
      </w:r>
    </w:p>
    <w:p w:rsidR="002B0A19" w:rsidRPr="002B0A19" w:rsidRDefault="002B0A19" w:rsidP="002B0A19">
      <w:pPr>
        <w:pStyle w:val="NormalWeb"/>
        <w:shd w:val="clear" w:color="auto" w:fill="FFFFFF"/>
        <w:jc w:val="both"/>
        <w:rPr>
          <w:rFonts w:ascii="Helvetica" w:hAnsi="Helvetica" w:cs="Helvetica"/>
          <w:i/>
          <w:color w:val="0A1B32"/>
          <w:sz w:val="27"/>
          <w:szCs w:val="27"/>
          <w:lang w:val="en-US"/>
        </w:rPr>
      </w:pPr>
      <w:r w:rsidRPr="002B0A19">
        <w:rPr>
          <w:rFonts w:ascii="Helvetica" w:hAnsi="Helvetica" w:cs="Helvetica"/>
          <w:i/>
          <w:color w:val="0A1B32"/>
          <w:sz w:val="27"/>
          <w:szCs w:val="27"/>
          <w:lang w:val="en-US"/>
        </w:rPr>
        <w:t xml:space="preserve">ΔP = [-D × </w:t>
      </w:r>
      <w:proofErr w:type="spellStart"/>
      <w:r w:rsidRPr="002B0A19">
        <w:rPr>
          <w:rFonts w:ascii="Helvetica" w:hAnsi="Helvetica" w:cs="Helvetica"/>
          <w:i/>
          <w:color w:val="0A1B32"/>
          <w:sz w:val="27"/>
          <w:szCs w:val="27"/>
          <w:lang w:val="en-US"/>
        </w:rPr>
        <w:t>Δi</w:t>
      </w:r>
      <w:proofErr w:type="spellEnd"/>
      <w:r w:rsidRPr="002B0A19">
        <w:rPr>
          <w:rFonts w:ascii="Helvetica" w:hAnsi="Helvetica" w:cs="Helvetica"/>
          <w:i/>
          <w:color w:val="0A1B32"/>
          <w:sz w:val="27"/>
          <w:szCs w:val="27"/>
          <w:lang w:val="en-US"/>
        </w:rPr>
        <w:t xml:space="preserve"> × P]/[1 + </w:t>
      </w:r>
      <w:proofErr w:type="spellStart"/>
      <w:r w:rsidRPr="002B0A19">
        <w:rPr>
          <w:rFonts w:ascii="Helvetica" w:hAnsi="Helvetica" w:cs="Helvetica"/>
          <w:i/>
          <w:color w:val="0A1B32"/>
          <w:sz w:val="27"/>
          <w:szCs w:val="27"/>
          <w:lang w:val="en-US"/>
        </w:rPr>
        <w:t>i</w:t>
      </w:r>
      <w:proofErr w:type="spellEnd"/>
      <w:r w:rsidRPr="002B0A19">
        <w:rPr>
          <w:rFonts w:ascii="Helvetica" w:hAnsi="Helvetica" w:cs="Helvetica"/>
          <w:i/>
          <w:color w:val="0A1B32"/>
          <w:sz w:val="27"/>
          <w:szCs w:val="27"/>
          <w:lang w:val="en-US"/>
        </w:rPr>
        <w:t>],</w:t>
      </w:r>
    </w:p>
    <w:p w:rsidR="002B0A19" w:rsidRPr="002B0A19" w:rsidRDefault="002B0A19" w:rsidP="002B0A19">
      <w:pPr>
        <w:pStyle w:val="NormalWeb"/>
        <w:shd w:val="clear" w:color="auto" w:fill="FFFFFF"/>
        <w:jc w:val="both"/>
        <w:rPr>
          <w:rFonts w:ascii="Helvetica" w:hAnsi="Helvetica" w:cs="Helvetica"/>
          <w:i/>
          <w:color w:val="0A1B32"/>
          <w:sz w:val="27"/>
          <w:szCs w:val="27"/>
          <w:lang w:val="en-US"/>
        </w:rPr>
      </w:pPr>
      <w:r w:rsidRPr="002B0A19">
        <w:rPr>
          <w:rFonts w:ascii="Helvetica" w:hAnsi="Helvetica" w:cs="Helvetica"/>
          <w:i/>
          <w:color w:val="0A1B32"/>
          <w:sz w:val="27"/>
          <w:szCs w:val="27"/>
          <w:lang w:val="en-US"/>
        </w:rPr>
        <w:t xml:space="preserve">where P is the price of the bond, D is the duration and </w:t>
      </w:r>
      <w:proofErr w:type="spellStart"/>
      <w:r w:rsidRPr="002B0A19">
        <w:rPr>
          <w:rFonts w:ascii="Helvetica" w:hAnsi="Helvetica" w:cs="Helvetica"/>
          <w:i/>
          <w:color w:val="0A1B32"/>
          <w:sz w:val="27"/>
          <w:szCs w:val="27"/>
          <w:lang w:val="en-US"/>
        </w:rPr>
        <w:t>i</w:t>
      </w:r>
      <w:proofErr w:type="spellEnd"/>
      <w:r w:rsidRPr="002B0A19">
        <w:rPr>
          <w:rFonts w:ascii="Helvetica" w:hAnsi="Helvetica" w:cs="Helvetica"/>
          <w:i/>
          <w:color w:val="0A1B32"/>
          <w:sz w:val="27"/>
          <w:szCs w:val="27"/>
          <w:lang w:val="en-US"/>
        </w:rPr>
        <w:t xml:space="preserve"> is the redemption yield.</w:t>
      </w:r>
    </w:p>
    <w:p w:rsidR="002B0A19" w:rsidRPr="002B0A19" w:rsidRDefault="002B0A19" w:rsidP="002B0A19">
      <w:pPr>
        <w:pStyle w:val="NormalWeb"/>
        <w:shd w:val="clear" w:color="auto" w:fill="FFFFFF"/>
        <w:jc w:val="both"/>
        <w:rPr>
          <w:rFonts w:ascii="Helvetica" w:hAnsi="Helvetica" w:cs="Helvetica"/>
          <w:i/>
          <w:color w:val="0A1B32"/>
          <w:sz w:val="27"/>
          <w:szCs w:val="27"/>
          <w:lang w:val="en-US"/>
        </w:rPr>
      </w:pPr>
      <w:r w:rsidRPr="002B0A19">
        <w:rPr>
          <w:rFonts w:ascii="Helvetica" w:hAnsi="Helvetica" w:cs="Helvetica"/>
          <w:i/>
          <w:color w:val="0A1B32"/>
          <w:sz w:val="27"/>
          <w:szCs w:val="27"/>
          <w:lang w:val="en-US"/>
        </w:rPr>
        <w:t>However, duration is only useful in assessing small changes in interest rates because of </w:t>
      </w:r>
      <w:r w:rsidRPr="002B0A19">
        <w:rPr>
          <w:rFonts w:ascii="Helvetica" w:hAnsi="Helvetica" w:cs="Helvetica"/>
          <w:b/>
          <w:bCs/>
          <w:i/>
          <w:color w:val="0A1B32"/>
          <w:sz w:val="27"/>
          <w:szCs w:val="27"/>
          <w:lang w:val="en-US"/>
        </w:rPr>
        <w:t>convexity</w:t>
      </w:r>
      <w:r w:rsidRPr="002B0A19">
        <w:rPr>
          <w:rFonts w:ascii="Helvetica" w:hAnsi="Helvetica" w:cs="Helvetica"/>
          <w:i/>
          <w:color w:val="0A1B32"/>
          <w:sz w:val="27"/>
          <w:szCs w:val="27"/>
          <w:lang w:val="en-US"/>
        </w:rPr>
        <w:t>. As interest rates increase, the price of a bond decreases and vice versa, but this decrease is not proportional for coupon paying bonds, the relationship is non-linear. In fact, the relationship between the changes in bond value to changes in interest rates is in the shape of a convex curve to origin, see below.</w:t>
      </w:r>
    </w:p>
    <w:p w:rsidR="002B0A19" w:rsidRDefault="002B0A19" w:rsidP="002B0A19">
      <w:pPr>
        <w:pStyle w:val="NormalWeb"/>
        <w:shd w:val="clear" w:color="auto" w:fill="FFFFFF"/>
        <w:rPr>
          <w:rFonts w:ascii="Arial" w:hAnsi="Arial" w:cs="Arial"/>
          <w:color w:val="333333"/>
          <w:sz w:val="18"/>
          <w:szCs w:val="18"/>
        </w:rPr>
      </w:pPr>
      <w:r>
        <w:rPr>
          <w:rFonts w:ascii="Arial" w:hAnsi="Arial" w:cs="Arial"/>
          <w:noProof/>
          <w:color w:val="333333"/>
          <w:sz w:val="18"/>
          <w:szCs w:val="18"/>
        </w:rPr>
        <w:drawing>
          <wp:inline distT="0" distB="0" distL="0" distR="0">
            <wp:extent cx="4762500" cy="1619250"/>
            <wp:effectExtent l="0" t="0" r="0" b="0"/>
            <wp:docPr id="35" name="Picture 35" descr="https://kfknowledgebank.kaplan.co.uk/images/default-source/default-album/ACCA_P4_Duration_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kfknowledgebank.kaplan.co.uk/images/default-source/default-album/ACCA_P4_Duration_Graph.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619250"/>
                    </a:xfrm>
                    <a:prstGeom prst="rect">
                      <a:avLst/>
                    </a:prstGeom>
                    <a:noFill/>
                    <a:ln>
                      <a:noFill/>
                    </a:ln>
                  </pic:spPr>
                </pic:pic>
              </a:graphicData>
            </a:graphic>
          </wp:inline>
        </w:drawing>
      </w:r>
    </w:p>
    <w:p w:rsidR="002B0A19" w:rsidRPr="002B0A19" w:rsidRDefault="002B0A19" w:rsidP="002B0A19">
      <w:pPr>
        <w:pStyle w:val="NormalWeb"/>
        <w:shd w:val="clear" w:color="auto" w:fill="FFFFFF"/>
        <w:jc w:val="both"/>
        <w:rPr>
          <w:rFonts w:ascii="Helvetica" w:hAnsi="Helvetica" w:cs="Helvetica"/>
          <w:i/>
          <w:color w:val="0A1B32"/>
          <w:sz w:val="27"/>
          <w:szCs w:val="27"/>
          <w:lang w:val="en-US"/>
        </w:rPr>
      </w:pPr>
      <w:r w:rsidRPr="002B0A19">
        <w:rPr>
          <w:rFonts w:ascii="Helvetica" w:hAnsi="Helvetica" w:cs="Helvetica"/>
          <w:i/>
          <w:color w:val="0A1B32"/>
          <w:sz w:val="27"/>
          <w:szCs w:val="27"/>
          <w:lang w:val="en-US"/>
        </w:rPr>
        <w:lastRenderedPageBreak/>
        <w:t>Duration, on the other hand, assumes that the relationship between changes in interest rates and the resultant bond is linear.</w:t>
      </w:r>
    </w:p>
    <w:p w:rsidR="002B0A19" w:rsidRPr="00754929" w:rsidRDefault="002B0A19" w:rsidP="00E96144">
      <w:pPr>
        <w:pStyle w:val="NormalWeb"/>
        <w:shd w:val="clear" w:color="auto" w:fill="FFFFFF"/>
        <w:jc w:val="both"/>
        <w:rPr>
          <w:rFonts w:ascii="Helvetica" w:hAnsi="Helvetica" w:cs="Helvetica"/>
          <w:i/>
          <w:color w:val="0A1B32"/>
          <w:sz w:val="27"/>
          <w:szCs w:val="27"/>
          <w:lang w:val="en-US"/>
        </w:rPr>
      </w:pPr>
      <w:r w:rsidRPr="002B0A19">
        <w:rPr>
          <w:rFonts w:ascii="Helvetica" w:hAnsi="Helvetica" w:cs="Helvetica"/>
          <w:i/>
          <w:color w:val="0A1B32"/>
          <w:sz w:val="27"/>
          <w:szCs w:val="27"/>
          <w:lang w:val="en-US"/>
        </w:rPr>
        <w:t>Therefore duration will predict a lower price than the actual price and for large changes in interest rates this difference can be significant. Duration can only be applied to measure the approximate change in a bond price due to interest changes, only if changes in interest rates do not lead to a change in the shape of the yield curve. This is because it is an average measure based on the gross redemption yield (yield to maturity). However, if the shape of the yield curve changes, duration can no longer be used to assess the change in bond value due to interest rate changes.</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24. How would you decide which discount curve to use to value future cash flows from interest rate swaps?</w:t>
      </w:r>
    </w:p>
    <w:p w:rsidR="00E96144" w:rsidRDefault="00E96144" w:rsidP="00E96144">
      <w:pPr>
        <w:jc w:val="both"/>
        <w:rPr>
          <w:rFonts w:ascii="Helvetica" w:eastAsia="Times New Roman" w:hAnsi="Helvetica" w:cs="Helvetica"/>
          <w:i/>
          <w:color w:val="0A1B32"/>
          <w:sz w:val="27"/>
          <w:szCs w:val="27"/>
          <w:lang w:val="en-US" w:eastAsia="pl-PL"/>
        </w:rPr>
      </w:pPr>
      <w:r w:rsidRPr="00E96144">
        <w:rPr>
          <w:rFonts w:ascii="Helvetica" w:eastAsia="Times New Roman" w:hAnsi="Helvetica" w:cs="Helvetica"/>
          <w:i/>
          <w:color w:val="0A1B32"/>
          <w:sz w:val="27"/>
          <w:szCs w:val="27"/>
          <w:lang w:val="en-US" w:eastAsia="pl-PL"/>
        </w:rPr>
        <w:t>Wha</w:t>
      </w:r>
      <w:r w:rsidR="00547945">
        <w:rPr>
          <w:rFonts w:ascii="Helvetica" w:eastAsia="Times New Roman" w:hAnsi="Helvetica" w:cs="Helvetica"/>
          <w:i/>
          <w:color w:val="0A1B32"/>
          <w:sz w:val="27"/>
          <w:szCs w:val="27"/>
          <w:lang w:val="en-US" w:eastAsia="pl-PL"/>
        </w:rPr>
        <w:t>t is typically done use to use E</w:t>
      </w:r>
      <w:r w:rsidRPr="00E96144">
        <w:rPr>
          <w:rFonts w:ascii="Helvetica" w:eastAsia="Times New Roman" w:hAnsi="Helvetica" w:cs="Helvetica"/>
          <w:i/>
          <w:color w:val="0A1B32"/>
          <w:sz w:val="27"/>
          <w:szCs w:val="27"/>
          <w:lang w:val="en-US" w:eastAsia="pl-PL"/>
        </w:rPr>
        <w:t xml:space="preserve">urodollar Future strips. </w:t>
      </w:r>
    </w:p>
    <w:p w:rsidR="00E96144" w:rsidRDefault="00E96144" w:rsidP="00E96144">
      <w:pPr>
        <w:jc w:val="both"/>
        <w:rPr>
          <w:rFonts w:ascii="Helvetica" w:eastAsia="Times New Roman" w:hAnsi="Helvetica" w:cs="Helvetica"/>
          <w:i/>
          <w:color w:val="0A1B32"/>
          <w:sz w:val="27"/>
          <w:szCs w:val="27"/>
          <w:lang w:val="en-US" w:eastAsia="pl-PL"/>
        </w:rPr>
      </w:pPr>
      <w:r w:rsidRPr="00E96144">
        <w:rPr>
          <w:rFonts w:ascii="Helvetica" w:eastAsia="Times New Roman" w:hAnsi="Helvetica" w:cs="Helvetica"/>
          <w:i/>
          <w:color w:val="0A1B32"/>
          <w:sz w:val="27"/>
          <w:szCs w:val="27"/>
          <w:lang w:val="en-US" w:eastAsia="pl-PL"/>
        </w:rPr>
        <w:t xml:space="preserve">The June Future gives you a lock on a three month deposit starting in June. Sep Future gives you a 3 month rate starting in Sep. </w:t>
      </w:r>
    </w:p>
    <w:p w:rsidR="00E96144" w:rsidRDefault="00E96144" w:rsidP="00E96144">
      <w:pPr>
        <w:jc w:val="both"/>
        <w:rPr>
          <w:rFonts w:ascii="Helvetica" w:eastAsia="Times New Roman" w:hAnsi="Helvetica" w:cs="Helvetica"/>
          <w:i/>
          <w:color w:val="0A1B32"/>
          <w:sz w:val="27"/>
          <w:szCs w:val="27"/>
          <w:lang w:val="en-US" w:eastAsia="pl-PL"/>
        </w:rPr>
      </w:pPr>
      <w:r>
        <w:rPr>
          <w:rFonts w:ascii="Helvetica" w:eastAsia="Times New Roman" w:hAnsi="Helvetica" w:cs="Helvetica"/>
          <w:i/>
          <w:color w:val="0A1B32"/>
          <w:sz w:val="27"/>
          <w:szCs w:val="27"/>
          <w:lang w:val="en-US" w:eastAsia="pl-PL"/>
        </w:rPr>
        <w:t>If Jun is trading at 95 and Sep Is t</w:t>
      </w:r>
      <w:r w:rsidRPr="00E96144">
        <w:rPr>
          <w:rFonts w:ascii="Helvetica" w:eastAsia="Times New Roman" w:hAnsi="Helvetica" w:cs="Helvetica"/>
          <w:i/>
          <w:color w:val="0A1B32"/>
          <w:sz w:val="27"/>
          <w:szCs w:val="27"/>
          <w:lang w:val="en-US" w:eastAsia="pl-PL"/>
        </w:rPr>
        <w:t>rading at 94.9 then we have</w:t>
      </w:r>
      <w:r>
        <w:rPr>
          <w:rFonts w:ascii="Helvetica" w:eastAsia="Times New Roman" w:hAnsi="Helvetica" w:cs="Helvetica"/>
          <w:i/>
          <w:color w:val="0A1B32"/>
          <w:sz w:val="27"/>
          <w:szCs w:val="27"/>
          <w:lang w:val="en-US" w:eastAsia="pl-PL"/>
        </w:rPr>
        <w:t xml:space="preserve"> J</w:t>
      </w:r>
      <w:r w:rsidRPr="00E96144">
        <w:rPr>
          <w:rFonts w:ascii="Helvetica" w:eastAsia="Times New Roman" w:hAnsi="Helvetica" w:cs="Helvetica"/>
          <w:i/>
          <w:color w:val="0A1B32"/>
          <w:sz w:val="27"/>
          <w:szCs w:val="27"/>
          <w:lang w:val="en-US" w:eastAsia="pl-PL"/>
        </w:rPr>
        <w:t>un</w:t>
      </w:r>
      <w:r>
        <w:rPr>
          <w:rFonts w:ascii="Helvetica" w:eastAsia="Times New Roman" w:hAnsi="Helvetica" w:cs="Helvetica"/>
          <w:i/>
          <w:color w:val="0A1B32"/>
          <w:sz w:val="27"/>
          <w:szCs w:val="27"/>
          <w:lang w:val="en-US" w:eastAsia="pl-PL"/>
        </w:rPr>
        <w:t>e</w:t>
      </w:r>
      <w:r w:rsidRPr="00E96144">
        <w:rPr>
          <w:rFonts w:ascii="Helvetica" w:eastAsia="Times New Roman" w:hAnsi="Helvetica" w:cs="Helvetica"/>
          <w:i/>
          <w:color w:val="0A1B32"/>
          <w:sz w:val="27"/>
          <w:szCs w:val="27"/>
          <w:lang w:val="en-US" w:eastAsia="pl-PL"/>
        </w:rPr>
        <w:t xml:space="preserve">  3 month yield is 5% and Sep is 5.1 % if it is 45 day until the </w:t>
      </w:r>
      <w:r>
        <w:rPr>
          <w:rFonts w:ascii="Helvetica" w:eastAsia="Times New Roman" w:hAnsi="Helvetica" w:cs="Helvetica"/>
          <w:i/>
          <w:color w:val="0A1B32"/>
          <w:sz w:val="27"/>
          <w:szCs w:val="27"/>
          <w:lang w:val="en-US" w:eastAsia="pl-PL"/>
        </w:rPr>
        <w:t>J</w:t>
      </w:r>
      <w:r w:rsidRPr="00E96144">
        <w:rPr>
          <w:rFonts w:ascii="Helvetica" w:eastAsia="Times New Roman" w:hAnsi="Helvetica" w:cs="Helvetica"/>
          <w:i/>
          <w:color w:val="0A1B32"/>
          <w:sz w:val="27"/>
          <w:szCs w:val="27"/>
          <w:lang w:val="en-US" w:eastAsia="pl-PL"/>
        </w:rPr>
        <w:t>un</w:t>
      </w:r>
      <w:r>
        <w:rPr>
          <w:rFonts w:ascii="Helvetica" w:eastAsia="Times New Roman" w:hAnsi="Helvetica" w:cs="Helvetica"/>
          <w:i/>
          <w:color w:val="0A1B32"/>
          <w:sz w:val="27"/>
          <w:szCs w:val="27"/>
          <w:lang w:val="en-US" w:eastAsia="pl-PL"/>
        </w:rPr>
        <w:t>e</w:t>
      </w:r>
      <w:r w:rsidRPr="00E96144">
        <w:rPr>
          <w:rFonts w:ascii="Helvetica" w:eastAsia="Times New Roman" w:hAnsi="Helvetica" w:cs="Helvetica"/>
          <w:i/>
          <w:color w:val="0A1B32"/>
          <w:sz w:val="27"/>
          <w:szCs w:val="27"/>
          <w:lang w:val="en-US" w:eastAsia="pl-PL"/>
        </w:rPr>
        <w:t xml:space="preserve"> </w:t>
      </w:r>
      <w:r>
        <w:rPr>
          <w:rFonts w:ascii="Helvetica" w:eastAsia="Times New Roman" w:hAnsi="Helvetica" w:cs="Helvetica"/>
          <w:i/>
          <w:color w:val="0A1B32"/>
          <w:sz w:val="27"/>
          <w:szCs w:val="27"/>
          <w:lang w:val="en-US" w:eastAsia="pl-PL"/>
        </w:rPr>
        <w:t>and the c</w:t>
      </w:r>
      <w:r w:rsidRPr="00E96144">
        <w:rPr>
          <w:rFonts w:ascii="Helvetica" w:eastAsia="Times New Roman" w:hAnsi="Helvetica" w:cs="Helvetica"/>
          <w:i/>
          <w:color w:val="0A1B32"/>
          <w:sz w:val="27"/>
          <w:szCs w:val="27"/>
          <w:lang w:val="en-US" w:eastAsia="pl-PL"/>
        </w:rPr>
        <w:t xml:space="preserve">ash rate to Jun is 4.9% </w:t>
      </w:r>
    </w:p>
    <w:p w:rsidR="00E96144" w:rsidRDefault="00E96144" w:rsidP="00E96144">
      <w:pPr>
        <w:jc w:val="both"/>
        <w:rPr>
          <w:rFonts w:ascii="Helvetica" w:eastAsia="Times New Roman" w:hAnsi="Helvetica" w:cs="Helvetica"/>
          <w:i/>
          <w:color w:val="0A1B32"/>
          <w:sz w:val="27"/>
          <w:szCs w:val="27"/>
          <w:lang w:val="en-US" w:eastAsia="pl-PL"/>
        </w:rPr>
      </w:pPr>
      <w:r w:rsidRPr="00E96144">
        <w:rPr>
          <w:rFonts w:ascii="Helvetica" w:eastAsia="Times New Roman" w:hAnsi="Helvetica" w:cs="Helvetica"/>
          <w:i/>
          <w:color w:val="0A1B32"/>
          <w:sz w:val="27"/>
          <w:szCs w:val="27"/>
          <w:lang w:val="en-US" w:eastAsia="pl-PL"/>
        </w:rPr>
        <w:t xml:space="preserve">We have an effective locked rate of </w:t>
      </w:r>
    </w:p>
    <w:p w:rsidR="00E96144" w:rsidRDefault="00E96144" w:rsidP="00E96144">
      <w:pPr>
        <w:jc w:val="both"/>
        <w:rPr>
          <w:rFonts w:ascii="Helvetica" w:eastAsia="Times New Roman" w:hAnsi="Helvetica" w:cs="Helvetica"/>
          <w:i/>
          <w:color w:val="0A1B32"/>
          <w:sz w:val="27"/>
          <w:szCs w:val="27"/>
          <w:lang w:val="en-US" w:eastAsia="pl-PL"/>
        </w:rPr>
      </w:pPr>
      <w:r w:rsidRPr="00E96144">
        <w:rPr>
          <w:rFonts w:ascii="Helvetica" w:eastAsia="Times New Roman" w:hAnsi="Helvetica" w:cs="Helvetica"/>
          <w:i/>
          <w:color w:val="0A1B32"/>
          <w:sz w:val="27"/>
          <w:szCs w:val="27"/>
          <w:lang w:val="en-US" w:eastAsia="pl-PL"/>
        </w:rPr>
        <w:t xml:space="preserve">((1 +.4.9%/45/360)((1+5%/90/360)(1+5.1%*90/360))^(360/225)-1 = 5.118%  </w:t>
      </w:r>
    </w:p>
    <w:p w:rsidR="00E96144" w:rsidRDefault="00E96144" w:rsidP="00E96144">
      <w:pPr>
        <w:jc w:val="both"/>
        <w:rPr>
          <w:rFonts w:ascii="Helvetica" w:eastAsia="Times New Roman" w:hAnsi="Helvetica" w:cs="Helvetica"/>
          <w:i/>
          <w:color w:val="0A1B32"/>
          <w:sz w:val="27"/>
          <w:szCs w:val="27"/>
          <w:lang w:val="en-US" w:eastAsia="pl-PL"/>
        </w:rPr>
      </w:pPr>
      <w:r w:rsidRPr="00E96144">
        <w:rPr>
          <w:rFonts w:ascii="Helvetica" w:eastAsia="Times New Roman" w:hAnsi="Helvetica" w:cs="Helvetica"/>
          <w:i/>
          <w:color w:val="0A1B32"/>
          <w:sz w:val="27"/>
          <w:szCs w:val="27"/>
          <w:lang w:val="en-US" w:eastAsia="pl-PL"/>
        </w:rPr>
        <w:t>as a</w:t>
      </w:r>
      <w:r>
        <w:rPr>
          <w:rFonts w:ascii="Helvetica" w:eastAsia="Times New Roman" w:hAnsi="Helvetica" w:cs="Helvetica"/>
          <w:i/>
          <w:color w:val="0A1B32"/>
          <w:sz w:val="27"/>
          <w:szCs w:val="27"/>
          <w:lang w:val="en-US" w:eastAsia="pl-PL"/>
        </w:rPr>
        <w:t>n annualized compound yield. T</w:t>
      </w:r>
      <w:r w:rsidRPr="00E96144">
        <w:rPr>
          <w:rFonts w:ascii="Helvetica" w:eastAsia="Times New Roman" w:hAnsi="Helvetica" w:cs="Helvetica"/>
          <w:i/>
          <w:color w:val="0A1B32"/>
          <w:sz w:val="27"/>
          <w:szCs w:val="27"/>
          <w:lang w:val="en-US" w:eastAsia="pl-PL"/>
        </w:rPr>
        <w:t xml:space="preserve">he 225 day discount factor is therefore </w:t>
      </w:r>
    </w:p>
    <w:p w:rsidR="00E96144" w:rsidRDefault="00E96144" w:rsidP="00E96144">
      <w:pPr>
        <w:jc w:val="both"/>
        <w:rPr>
          <w:rFonts w:ascii="Helvetica" w:eastAsia="Times New Roman" w:hAnsi="Helvetica" w:cs="Helvetica"/>
          <w:i/>
          <w:color w:val="0A1B32"/>
          <w:sz w:val="27"/>
          <w:szCs w:val="27"/>
          <w:lang w:val="en-US" w:eastAsia="pl-PL"/>
        </w:rPr>
      </w:pPr>
      <w:r w:rsidRPr="00E96144">
        <w:rPr>
          <w:rFonts w:ascii="Helvetica" w:eastAsia="Times New Roman" w:hAnsi="Helvetica" w:cs="Helvetica"/>
          <w:i/>
          <w:color w:val="0A1B32"/>
          <w:sz w:val="27"/>
          <w:szCs w:val="27"/>
          <w:lang w:val="en-US" w:eastAsia="pl-PL"/>
        </w:rPr>
        <w:t>d = ( 1 + 5.118%) ^ (225/360)</w:t>
      </w:r>
    </w:p>
    <w:p w:rsidR="00E96144" w:rsidRDefault="00E96144" w:rsidP="00E96144">
      <w:pPr>
        <w:jc w:val="both"/>
        <w:rPr>
          <w:rFonts w:ascii="Helvetica" w:eastAsia="Times New Roman" w:hAnsi="Helvetica" w:cs="Helvetica"/>
          <w:i/>
          <w:color w:val="0A1B32"/>
          <w:sz w:val="27"/>
          <w:szCs w:val="27"/>
          <w:lang w:val="en-US" w:eastAsia="pl-PL"/>
        </w:rPr>
      </w:pPr>
      <w:r w:rsidRPr="00E96144">
        <w:rPr>
          <w:rFonts w:ascii="Helvetica" w:eastAsia="Times New Roman" w:hAnsi="Helvetica" w:cs="Helvetica"/>
          <w:i/>
          <w:color w:val="0A1B32"/>
          <w:sz w:val="27"/>
          <w:szCs w:val="27"/>
          <w:lang w:val="en-US" w:eastAsia="pl-PL"/>
        </w:rPr>
        <w:t>We</w:t>
      </w:r>
      <w:r>
        <w:rPr>
          <w:rFonts w:ascii="Helvetica" w:eastAsia="Times New Roman" w:hAnsi="Helvetica" w:cs="Helvetica"/>
          <w:i/>
          <w:color w:val="0A1B32"/>
          <w:sz w:val="27"/>
          <w:szCs w:val="27"/>
          <w:lang w:val="en-US" w:eastAsia="pl-PL"/>
        </w:rPr>
        <w:t xml:space="preserve"> can do this for any maturity </w:t>
      </w:r>
      <w:r w:rsidRPr="00E96144">
        <w:rPr>
          <w:rFonts w:ascii="Helvetica" w:eastAsia="Times New Roman" w:hAnsi="Helvetica" w:cs="Helvetica"/>
          <w:i/>
          <w:color w:val="0A1B32"/>
          <w:sz w:val="27"/>
          <w:szCs w:val="27"/>
          <w:lang w:val="en-US" w:eastAsia="pl-PL"/>
        </w:rPr>
        <w:t xml:space="preserve">and create a zero coupon yield curve. </w:t>
      </w:r>
    </w:p>
    <w:p w:rsidR="00E96144" w:rsidRPr="00754929" w:rsidRDefault="00E96144" w:rsidP="00CD39AE">
      <w:pPr>
        <w:jc w:val="both"/>
        <w:rPr>
          <w:rFonts w:ascii="Helvetica" w:eastAsia="Times New Roman" w:hAnsi="Helvetica" w:cs="Helvetica"/>
          <w:i/>
          <w:color w:val="0A1B32"/>
          <w:sz w:val="27"/>
          <w:szCs w:val="27"/>
          <w:lang w:val="en-US" w:eastAsia="pl-PL"/>
        </w:rPr>
      </w:pPr>
      <w:r w:rsidRPr="00E96144">
        <w:rPr>
          <w:rFonts w:ascii="Helvetica" w:eastAsia="Times New Roman" w:hAnsi="Helvetica" w:cs="Helvetica"/>
          <w:i/>
          <w:color w:val="0A1B32"/>
          <w:sz w:val="27"/>
          <w:szCs w:val="27"/>
          <w:lang w:val="en-US" w:eastAsia="pl-PL"/>
        </w:rPr>
        <w:t>That is how it is done in practice.</w:t>
      </w:r>
    </w:p>
    <w:p w:rsidR="00754929" w:rsidRPr="00754929" w:rsidRDefault="00754929" w:rsidP="00754929">
      <w:pPr>
        <w:spacing w:after="100" w:afterAutospacing="1" w:line="240" w:lineRule="auto"/>
        <w:outlineLvl w:val="2"/>
        <w:rPr>
          <w:rFonts w:ascii="Helvetica" w:eastAsia="Times New Roman" w:hAnsi="Helvetica" w:cs="Helvetica"/>
          <w:b/>
          <w:color w:val="0A1B32"/>
          <w:sz w:val="27"/>
          <w:szCs w:val="27"/>
          <w:lang w:val="en-US" w:eastAsia="pl-PL"/>
        </w:rPr>
      </w:pPr>
      <w:r w:rsidRPr="00922D64">
        <w:rPr>
          <w:rFonts w:ascii="Helvetica" w:eastAsia="Times New Roman" w:hAnsi="Helvetica" w:cs="Helvetica"/>
          <w:b/>
          <w:bCs/>
          <w:color w:val="0A1B32"/>
          <w:sz w:val="27"/>
          <w:szCs w:val="27"/>
          <w:lang w:val="en-US" w:eastAsia="pl-PL"/>
        </w:rPr>
        <w:t>Questions on quantitative concepts:</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25. Can you explain the assumptions behind Black Scholes?</w:t>
      </w:r>
    </w:p>
    <w:p w:rsidR="00393675" w:rsidRPr="00393675" w:rsidRDefault="00393675" w:rsidP="00754929">
      <w:pPr>
        <w:spacing w:after="100" w:afterAutospacing="1" w:line="240" w:lineRule="auto"/>
        <w:rPr>
          <w:rFonts w:ascii="Helvetica" w:eastAsia="Times New Roman" w:hAnsi="Helvetica" w:cs="Helvetica"/>
          <w:i/>
          <w:color w:val="0A1B32"/>
          <w:sz w:val="27"/>
          <w:szCs w:val="27"/>
          <w:lang w:val="en-US" w:eastAsia="pl-PL"/>
        </w:rPr>
      </w:pPr>
      <w:r w:rsidRPr="00393675">
        <w:rPr>
          <w:rFonts w:ascii="Helvetica" w:eastAsia="Times New Roman" w:hAnsi="Helvetica" w:cs="Helvetica"/>
          <w:i/>
          <w:color w:val="0A1B32"/>
          <w:sz w:val="27"/>
          <w:szCs w:val="27"/>
          <w:lang w:val="en-US" w:eastAsia="pl-PL"/>
        </w:rPr>
        <w:t>- No Arbitrage</w:t>
      </w:r>
      <w:r>
        <w:rPr>
          <w:rFonts w:ascii="Helvetica" w:eastAsia="Times New Roman" w:hAnsi="Helvetica" w:cs="Helvetica"/>
          <w:i/>
          <w:color w:val="0A1B32"/>
          <w:sz w:val="27"/>
          <w:szCs w:val="27"/>
          <w:lang w:val="en-US" w:eastAsia="pl-PL"/>
        </w:rPr>
        <w:t xml:space="preserve"> (markets are random, unpredictable)</w:t>
      </w:r>
    </w:p>
    <w:p w:rsidR="00393675" w:rsidRPr="00393675" w:rsidRDefault="00393675" w:rsidP="00754929">
      <w:pPr>
        <w:spacing w:after="100" w:afterAutospacing="1" w:line="240" w:lineRule="auto"/>
        <w:rPr>
          <w:rFonts w:ascii="Helvetica" w:eastAsia="Times New Roman" w:hAnsi="Helvetica" w:cs="Helvetica"/>
          <w:i/>
          <w:color w:val="0A1B32"/>
          <w:sz w:val="27"/>
          <w:szCs w:val="27"/>
          <w:lang w:val="en-US" w:eastAsia="pl-PL"/>
        </w:rPr>
      </w:pPr>
      <w:r w:rsidRPr="00393675">
        <w:rPr>
          <w:rFonts w:ascii="Helvetica" w:eastAsia="Times New Roman" w:hAnsi="Helvetica" w:cs="Helvetica"/>
          <w:i/>
          <w:color w:val="0A1B32"/>
          <w:sz w:val="27"/>
          <w:szCs w:val="27"/>
          <w:lang w:val="en-US" w:eastAsia="pl-PL"/>
        </w:rPr>
        <w:t>- Complete / Frictionless</w:t>
      </w:r>
      <w:r>
        <w:rPr>
          <w:rFonts w:ascii="Helvetica" w:eastAsia="Times New Roman" w:hAnsi="Helvetica" w:cs="Helvetica"/>
          <w:i/>
          <w:color w:val="0A1B32"/>
          <w:sz w:val="27"/>
          <w:szCs w:val="27"/>
          <w:lang w:val="en-US" w:eastAsia="pl-PL"/>
        </w:rPr>
        <w:t xml:space="preserve"> / Liquid</w:t>
      </w:r>
      <w:r w:rsidRPr="00393675">
        <w:rPr>
          <w:rFonts w:ascii="Helvetica" w:eastAsia="Times New Roman" w:hAnsi="Helvetica" w:cs="Helvetica"/>
          <w:i/>
          <w:color w:val="0A1B32"/>
          <w:sz w:val="27"/>
          <w:szCs w:val="27"/>
          <w:lang w:val="en-US" w:eastAsia="pl-PL"/>
        </w:rPr>
        <w:t xml:space="preserve"> Markets</w:t>
      </w:r>
    </w:p>
    <w:p w:rsidR="00393675" w:rsidRDefault="00393675" w:rsidP="00754929">
      <w:pPr>
        <w:spacing w:after="100" w:afterAutospacing="1" w:line="240" w:lineRule="auto"/>
        <w:rPr>
          <w:rFonts w:ascii="Helvetica" w:eastAsia="Times New Roman" w:hAnsi="Helvetica" w:cs="Helvetica"/>
          <w:i/>
          <w:color w:val="0A1B32"/>
          <w:sz w:val="27"/>
          <w:szCs w:val="27"/>
          <w:lang w:val="en-US" w:eastAsia="pl-PL"/>
        </w:rPr>
      </w:pPr>
      <w:r w:rsidRPr="00393675">
        <w:rPr>
          <w:rFonts w:ascii="Helvetica" w:eastAsia="Times New Roman" w:hAnsi="Helvetica" w:cs="Helvetica"/>
          <w:i/>
          <w:color w:val="0A1B32"/>
          <w:sz w:val="27"/>
          <w:szCs w:val="27"/>
          <w:lang w:val="en-US" w:eastAsia="pl-PL"/>
        </w:rPr>
        <w:t>- No transaction fees</w:t>
      </w:r>
    </w:p>
    <w:p w:rsidR="00393675" w:rsidRPr="00393675" w:rsidRDefault="00393675" w:rsidP="00754929">
      <w:pPr>
        <w:spacing w:after="100" w:afterAutospacing="1" w:line="240" w:lineRule="auto"/>
        <w:rPr>
          <w:rFonts w:ascii="Helvetica" w:eastAsia="Times New Roman" w:hAnsi="Helvetica" w:cs="Helvetica"/>
          <w:i/>
          <w:color w:val="0A1B32"/>
          <w:sz w:val="27"/>
          <w:szCs w:val="27"/>
          <w:lang w:val="en-US" w:eastAsia="pl-PL"/>
        </w:rPr>
      </w:pPr>
      <w:r>
        <w:rPr>
          <w:rFonts w:ascii="Helvetica" w:eastAsia="Times New Roman" w:hAnsi="Helvetica" w:cs="Helvetica"/>
          <w:i/>
          <w:color w:val="0A1B32"/>
          <w:sz w:val="27"/>
          <w:szCs w:val="27"/>
          <w:lang w:val="en-US" w:eastAsia="pl-PL"/>
        </w:rPr>
        <w:t>- No dividends</w:t>
      </w:r>
    </w:p>
    <w:p w:rsidR="00393675" w:rsidRPr="00393675" w:rsidRDefault="00393675" w:rsidP="00754929">
      <w:pPr>
        <w:spacing w:after="100" w:afterAutospacing="1" w:line="240" w:lineRule="auto"/>
        <w:rPr>
          <w:rFonts w:ascii="Helvetica" w:eastAsia="Times New Roman" w:hAnsi="Helvetica" w:cs="Helvetica"/>
          <w:i/>
          <w:color w:val="0A1B32"/>
          <w:sz w:val="27"/>
          <w:szCs w:val="27"/>
          <w:lang w:val="en-US" w:eastAsia="pl-PL"/>
        </w:rPr>
      </w:pPr>
      <w:r w:rsidRPr="00393675">
        <w:rPr>
          <w:rFonts w:ascii="Helvetica" w:eastAsia="Times New Roman" w:hAnsi="Helvetica" w:cs="Helvetica"/>
          <w:i/>
          <w:color w:val="0A1B32"/>
          <w:sz w:val="27"/>
          <w:szCs w:val="27"/>
          <w:lang w:val="en-US" w:eastAsia="pl-PL"/>
        </w:rPr>
        <w:t>- Gaussian distribution, constant volatility</w:t>
      </w:r>
    </w:p>
    <w:p w:rsidR="00393675" w:rsidRDefault="00393675" w:rsidP="00754929">
      <w:pPr>
        <w:spacing w:after="100" w:afterAutospacing="1" w:line="240" w:lineRule="auto"/>
        <w:rPr>
          <w:rFonts w:ascii="Helvetica" w:eastAsia="Times New Roman" w:hAnsi="Helvetica" w:cs="Helvetica"/>
          <w:i/>
          <w:color w:val="0A1B32"/>
          <w:sz w:val="27"/>
          <w:szCs w:val="27"/>
          <w:lang w:val="en-US" w:eastAsia="pl-PL"/>
        </w:rPr>
      </w:pPr>
      <w:r w:rsidRPr="00393675">
        <w:rPr>
          <w:rFonts w:ascii="Helvetica" w:eastAsia="Times New Roman" w:hAnsi="Helvetica" w:cs="Helvetica"/>
          <w:i/>
          <w:color w:val="0A1B32"/>
          <w:sz w:val="27"/>
          <w:szCs w:val="27"/>
          <w:lang w:val="en-US" w:eastAsia="pl-PL"/>
        </w:rPr>
        <w:lastRenderedPageBreak/>
        <w:t>- Constant risk-free rate</w:t>
      </w:r>
    </w:p>
    <w:p w:rsidR="00393675" w:rsidRPr="00393675" w:rsidRDefault="00393675" w:rsidP="00754929">
      <w:pPr>
        <w:spacing w:after="100" w:afterAutospacing="1" w:line="240" w:lineRule="auto"/>
        <w:rPr>
          <w:rFonts w:ascii="Helvetica" w:eastAsia="Times New Roman" w:hAnsi="Helvetica" w:cs="Helvetica"/>
          <w:i/>
          <w:color w:val="0A1B32"/>
          <w:sz w:val="27"/>
          <w:szCs w:val="27"/>
          <w:lang w:val="en-US" w:eastAsia="pl-PL"/>
        </w:rPr>
      </w:pPr>
      <w:r>
        <w:rPr>
          <w:rFonts w:ascii="Helvetica" w:eastAsia="Times New Roman" w:hAnsi="Helvetica" w:cs="Helvetica"/>
          <w:i/>
          <w:color w:val="0A1B32"/>
          <w:sz w:val="27"/>
          <w:szCs w:val="27"/>
          <w:lang w:val="en-US" w:eastAsia="pl-PL"/>
        </w:rPr>
        <w:t>- The option is European and can only be exercised</w:t>
      </w:r>
      <w:r w:rsidR="00A47A0E">
        <w:rPr>
          <w:rFonts w:ascii="Helvetica" w:eastAsia="Times New Roman" w:hAnsi="Helvetica" w:cs="Helvetica"/>
          <w:i/>
          <w:color w:val="0A1B32"/>
          <w:sz w:val="27"/>
          <w:szCs w:val="27"/>
          <w:lang w:val="en-US" w:eastAsia="pl-PL"/>
        </w:rPr>
        <w:t xml:space="preserve"> at maturity</w:t>
      </w:r>
    </w:p>
    <w:p w:rsidR="00393675" w:rsidRPr="00393675" w:rsidRDefault="00393675" w:rsidP="00393675">
      <w:pPr>
        <w:spacing w:after="100" w:afterAutospacing="1" w:line="240" w:lineRule="auto"/>
        <w:rPr>
          <w:rFonts w:ascii="Helvetica" w:eastAsia="Times New Roman" w:hAnsi="Helvetica" w:cs="Helvetica"/>
          <w:i/>
          <w:color w:val="0A1B32"/>
          <w:sz w:val="27"/>
          <w:szCs w:val="27"/>
          <w:lang w:val="en-US" w:eastAsia="pl-PL"/>
        </w:rPr>
      </w:pP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26. What's a volatility smile? Why does it occur? What are the implications for Black Scholes?</w:t>
      </w:r>
    </w:p>
    <w:p w:rsidR="00F81060" w:rsidRPr="00F81060" w:rsidRDefault="00F81060" w:rsidP="00F81060">
      <w:pPr>
        <w:spacing w:after="100" w:afterAutospacing="1" w:line="240" w:lineRule="auto"/>
        <w:jc w:val="both"/>
        <w:rPr>
          <w:rFonts w:ascii="Helvetica" w:eastAsia="Times New Roman" w:hAnsi="Helvetica" w:cs="Helvetica"/>
          <w:i/>
          <w:color w:val="0A1B32"/>
          <w:sz w:val="27"/>
          <w:szCs w:val="27"/>
          <w:lang w:val="en-US" w:eastAsia="pl-PL"/>
        </w:rPr>
      </w:pPr>
      <w:r w:rsidRPr="00F81060">
        <w:rPr>
          <w:rFonts w:ascii="Helvetica" w:eastAsia="Times New Roman" w:hAnsi="Helvetica" w:cs="Helvetica"/>
          <w:i/>
          <w:color w:val="0A1B32"/>
          <w:sz w:val="27"/>
          <w:szCs w:val="27"/>
          <w:lang w:val="en-US" w:eastAsia="pl-PL"/>
        </w:rPr>
        <w:t>- The stylized fact stating that the volatility implied from option prices is not constant (as assumed in BS) but instead it varies dependent on the option strike. Frequently, it is higher in case of option with high strike (deep out-of-the-money) or very low strikes (deep in the money), whereas lower for strikes closer to stock price (at-the-money).</w:t>
      </w:r>
    </w:p>
    <w:p w:rsidR="00F81060" w:rsidRPr="00F81060" w:rsidRDefault="00F81060" w:rsidP="00F81060">
      <w:pPr>
        <w:spacing w:after="100" w:afterAutospacing="1" w:line="240" w:lineRule="auto"/>
        <w:jc w:val="both"/>
        <w:rPr>
          <w:rFonts w:ascii="Helvetica" w:eastAsia="Times New Roman" w:hAnsi="Helvetica" w:cs="Helvetica"/>
          <w:i/>
          <w:color w:val="0A1B32"/>
          <w:sz w:val="27"/>
          <w:szCs w:val="27"/>
          <w:lang w:val="en-US" w:eastAsia="pl-PL"/>
        </w:rPr>
      </w:pPr>
      <w:r w:rsidRPr="00F81060">
        <w:rPr>
          <w:rFonts w:ascii="Helvetica" w:eastAsia="Times New Roman" w:hAnsi="Helvetica" w:cs="Helvetica"/>
          <w:i/>
          <w:color w:val="0A1B32"/>
          <w:sz w:val="27"/>
          <w:szCs w:val="27"/>
          <w:lang w:val="en-US" w:eastAsia="pl-PL"/>
        </w:rPr>
        <w:t>- A more general explanat</w:t>
      </w:r>
      <w:r>
        <w:rPr>
          <w:rFonts w:ascii="Helvetica" w:eastAsia="Times New Roman" w:hAnsi="Helvetica" w:cs="Helvetica"/>
          <w:i/>
          <w:color w:val="0A1B32"/>
          <w:sz w:val="27"/>
          <w:szCs w:val="27"/>
          <w:lang w:val="en-US" w:eastAsia="pl-PL"/>
        </w:rPr>
        <w:t xml:space="preserve">ion for the volatility smile is </w:t>
      </w:r>
      <w:r w:rsidRPr="00F81060">
        <w:rPr>
          <w:rFonts w:ascii="Helvetica" w:eastAsia="Times New Roman" w:hAnsi="Helvetica" w:cs="Helvetica"/>
          <w:i/>
          <w:color w:val="0A1B32"/>
          <w:sz w:val="27"/>
          <w:szCs w:val="27"/>
          <w:lang w:val="en-US" w:eastAsia="pl-PL"/>
        </w:rPr>
        <w:t xml:space="preserve">that it incorporates </w:t>
      </w:r>
      <w:r w:rsidRPr="00F81060">
        <w:rPr>
          <w:rFonts w:ascii="Helvetica" w:eastAsia="Times New Roman" w:hAnsi="Helvetica" w:cs="Helvetica"/>
          <w:b/>
          <w:i/>
          <w:color w:val="0A1B32"/>
          <w:sz w:val="27"/>
          <w:szCs w:val="27"/>
          <w:lang w:val="en-US" w:eastAsia="pl-PL"/>
        </w:rPr>
        <w:t>the kurtosis seen in stock returns.</w:t>
      </w:r>
      <w:r>
        <w:rPr>
          <w:rFonts w:ascii="Helvetica" w:eastAsia="Times New Roman" w:hAnsi="Helvetica" w:cs="Helvetica"/>
          <w:i/>
          <w:color w:val="0A1B32"/>
          <w:sz w:val="27"/>
          <w:szCs w:val="27"/>
          <w:lang w:val="en-US" w:eastAsia="pl-PL"/>
        </w:rPr>
        <w:t xml:space="preserve"> </w:t>
      </w:r>
      <w:r w:rsidRPr="00F81060">
        <w:rPr>
          <w:rFonts w:ascii="Helvetica" w:eastAsia="Times New Roman" w:hAnsi="Helvetica" w:cs="Helvetica"/>
          <w:i/>
          <w:color w:val="0A1B32"/>
          <w:sz w:val="27"/>
          <w:szCs w:val="27"/>
          <w:lang w:val="en-US" w:eastAsia="pl-PL"/>
        </w:rPr>
        <w:t xml:space="preserve">Stock returns are not normal, stock prices are not </w:t>
      </w:r>
      <w:r>
        <w:rPr>
          <w:rFonts w:ascii="Helvetica" w:eastAsia="Times New Roman" w:hAnsi="Helvetica" w:cs="Helvetica"/>
          <w:i/>
          <w:color w:val="0A1B32"/>
          <w:sz w:val="27"/>
          <w:szCs w:val="27"/>
          <w:lang w:val="en-US" w:eastAsia="pl-PL"/>
        </w:rPr>
        <w:t xml:space="preserve">lognormal. </w:t>
      </w:r>
      <w:r w:rsidRPr="00F81060">
        <w:rPr>
          <w:rFonts w:ascii="Helvetica" w:eastAsia="Times New Roman" w:hAnsi="Helvetica" w:cs="Helvetica"/>
          <w:i/>
          <w:color w:val="0A1B32"/>
          <w:sz w:val="27"/>
          <w:szCs w:val="27"/>
          <w:lang w:val="en-US" w:eastAsia="pl-PL"/>
        </w:rPr>
        <w:t xml:space="preserve">Both have </w:t>
      </w:r>
      <w:r w:rsidRPr="00393CC8">
        <w:rPr>
          <w:rFonts w:ascii="Helvetica" w:eastAsia="Times New Roman" w:hAnsi="Helvetica" w:cs="Helvetica"/>
          <w:b/>
          <w:i/>
          <w:color w:val="0A1B32"/>
          <w:sz w:val="27"/>
          <w:szCs w:val="27"/>
          <w:lang w:val="en-US" w:eastAsia="pl-PL"/>
        </w:rPr>
        <w:t>fatter tails</w:t>
      </w:r>
      <w:r>
        <w:rPr>
          <w:rFonts w:ascii="Helvetica" w:eastAsia="Times New Roman" w:hAnsi="Helvetica" w:cs="Helvetica"/>
          <w:i/>
          <w:color w:val="0A1B32"/>
          <w:sz w:val="27"/>
          <w:szCs w:val="27"/>
          <w:lang w:val="en-US" w:eastAsia="pl-PL"/>
        </w:rPr>
        <w:t xml:space="preserve"> than you would expect </w:t>
      </w:r>
      <w:r w:rsidRPr="00F81060">
        <w:rPr>
          <w:rFonts w:ascii="Helvetica" w:eastAsia="Times New Roman" w:hAnsi="Helvetica" w:cs="Helvetica"/>
          <w:i/>
          <w:color w:val="0A1B32"/>
          <w:sz w:val="27"/>
          <w:szCs w:val="27"/>
          <w:lang w:val="en-US" w:eastAsia="pl-PL"/>
        </w:rPr>
        <w:t>from normally distributed return</w:t>
      </w:r>
      <w:r>
        <w:rPr>
          <w:rFonts w:ascii="Helvetica" w:eastAsia="Times New Roman" w:hAnsi="Helvetica" w:cs="Helvetica"/>
          <w:i/>
          <w:color w:val="0A1B32"/>
          <w:sz w:val="27"/>
          <w:szCs w:val="27"/>
          <w:lang w:val="en-US" w:eastAsia="pl-PL"/>
        </w:rPr>
        <w:t xml:space="preserve">s. We know that, theoretically, </w:t>
      </w:r>
      <w:r w:rsidRPr="00F81060">
        <w:rPr>
          <w:rFonts w:ascii="Helvetica" w:eastAsia="Times New Roman" w:hAnsi="Helvetica" w:cs="Helvetica"/>
          <w:i/>
          <w:color w:val="0A1B32"/>
          <w:sz w:val="27"/>
          <w:szCs w:val="27"/>
          <w:lang w:val="en-US" w:eastAsia="pl-PL"/>
        </w:rPr>
        <w:t>the value of an</w:t>
      </w:r>
      <w:r>
        <w:rPr>
          <w:rFonts w:ascii="Helvetica" w:eastAsia="Times New Roman" w:hAnsi="Helvetica" w:cs="Helvetica"/>
          <w:i/>
          <w:color w:val="0A1B32"/>
          <w:sz w:val="27"/>
          <w:szCs w:val="27"/>
          <w:lang w:val="en-US" w:eastAsia="pl-PL"/>
        </w:rPr>
        <w:t xml:space="preserve"> option is the present value of </w:t>
      </w:r>
      <w:r w:rsidRPr="00F81060">
        <w:rPr>
          <w:rFonts w:ascii="Helvetica" w:eastAsia="Times New Roman" w:hAnsi="Helvetica" w:cs="Helvetica"/>
          <w:i/>
          <w:color w:val="0A1B32"/>
          <w:sz w:val="27"/>
          <w:szCs w:val="27"/>
          <w:lang w:val="en-US" w:eastAsia="pl-PL"/>
        </w:rPr>
        <w:t>the expected payoff un</w:t>
      </w:r>
      <w:r>
        <w:rPr>
          <w:rFonts w:ascii="Helvetica" w:eastAsia="Times New Roman" w:hAnsi="Helvetica" w:cs="Helvetica"/>
          <w:i/>
          <w:color w:val="0A1B32"/>
          <w:sz w:val="27"/>
          <w:szCs w:val="27"/>
          <w:lang w:val="en-US" w:eastAsia="pl-PL"/>
        </w:rPr>
        <w:t xml:space="preserve">der a risk-neutral random walk. </w:t>
      </w:r>
      <w:r w:rsidRPr="00F81060">
        <w:rPr>
          <w:rFonts w:ascii="Helvetica" w:eastAsia="Times New Roman" w:hAnsi="Helvetica" w:cs="Helvetica"/>
          <w:i/>
          <w:color w:val="0A1B32"/>
          <w:sz w:val="27"/>
          <w:szCs w:val="27"/>
          <w:lang w:val="en-US" w:eastAsia="pl-PL"/>
        </w:rPr>
        <w:t>If that risk-neutral probability de</w:t>
      </w:r>
      <w:r>
        <w:rPr>
          <w:rFonts w:ascii="Helvetica" w:eastAsia="Times New Roman" w:hAnsi="Helvetica" w:cs="Helvetica"/>
          <w:i/>
          <w:color w:val="0A1B32"/>
          <w:sz w:val="27"/>
          <w:szCs w:val="27"/>
          <w:lang w:val="en-US" w:eastAsia="pl-PL"/>
        </w:rPr>
        <w:t xml:space="preserve">nsity function has fat </w:t>
      </w:r>
      <w:r w:rsidRPr="00F81060">
        <w:rPr>
          <w:rFonts w:ascii="Helvetica" w:eastAsia="Times New Roman" w:hAnsi="Helvetica" w:cs="Helvetica"/>
          <w:i/>
          <w:color w:val="0A1B32"/>
          <w:sz w:val="27"/>
          <w:szCs w:val="27"/>
          <w:lang w:val="en-US" w:eastAsia="pl-PL"/>
        </w:rPr>
        <w:t>tails then you would ex</w:t>
      </w:r>
      <w:r>
        <w:rPr>
          <w:rFonts w:ascii="Helvetica" w:eastAsia="Times New Roman" w:hAnsi="Helvetica" w:cs="Helvetica"/>
          <w:i/>
          <w:color w:val="0A1B32"/>
          <w:sz w:val="27"/>
          <w:szCs w:val="27"/>
          <w:lang w:val="en-US" w:eastAsia="pl-PL"/>
        </w:rPr>
        <w:t xml:space="preserve">pect option prices to be higher </w:t>
      </w:r>
      <w:r w:rsidRPr="00F81060">
        <w:rPr>
          <w:rFonts w:ascii="Helvetica" w:eastAsia="Times New Roman" w:hAnsi="Helvetica" w:cs="Helvetica"/>
          <w:i/>
          <w:color w:val="0A1B32"/>
          <w:sz w:val="27"/>
          <w:szCs w:val="27"/>
          <w:lang w:val="en-US" w:eastAsia="pl-PL"/>
        </w:rPr>
        <w:t>than Black–Scholes for v</w:t>
      </w:r>
      <w:r>
        <w:rPr>
          <w:rFonts w:ascii="Helvetica" w:eastAsia="Times New Roman" w:hAnsi="Helvetica" w:cs="Helvetica"/>
          <w:i/>
          <w:color w:val="0A1B32"/>
          <w:sz w:val="27"/>
          <w:szCs w:val="27"/>
          <w:lang w:val="en-US" w:eastAsia="pl-PL"/>
        </w:rPr>
        <w:t xml:space="preserve">ery low and high strikes. Hence </w:t>
      </w:r>
      <w:r w:rsidRPr="00F81060">
        <w:rPr>
          <w:rFonts w:ascii="Helvetica" w:eastAsia="Times New Roman" w:hAnsi="Helvetica" w:cs="Helvetica"/>
          <w:i/>
          <w:color w:val="0A1B32"/>
          <w:sz w:val="27"/>
          <w:szCs w:val="27"/>
          <w:lang w:val="en-US" w:eastAsia="pl-PL"/>
        </w:rPr>
        <w:t>higher implied volatilities, and the smile.</w:t>
      </w:r>
    </w:p>
    <w:p w:rsidR="00F81060" w:rsidRPr="00F81060" w:rsidRDefault="00F81060" w:rsidP="00F81060">
      <w:pPr>
        <w:spacing w:after="100" w:afterAutospacing="1" w:line="240" w:lineRule="auto"/>
        <w:jc w:val="both"/>
        <w:rPr>
          <w:rFonts w:ascii="Helvetica" w:eastAsia="Times New Roman" w:hAnsi="Helvetica" w:cs="Helvetica"/>
          <w:i/>
          <w:color w:val="0A1B32"/>
          <w:sz w:val="27"/>
          <w:szCs w:val="27"/>
          <w:lang w:val="en-US" w:eastAsia="pl-PL"/>
        </w:rPr>
      </w:pPr>
      <w:r>
        <w:rPr>
          <w:rFonts w:ascii="Helvetica" w:eastAsia="Times New Roman" w:hAnsi="Helvetica" w:cs="Helvetica"/>
          <w:i/>
          <w:color w:val="0A1B32"/>
          <w:sz w:val="27"/>
          <w:szCs w:val="27"/>
          <w:lang w:val="en-US" w:eastAsia="pl-PL"/>
        </w:rPr>
        <w:t xml:space="preserve">- </w:t>
      </w:r>
      <w:r w:rsidRPr="00F81060">
        <w:rPr>
          <w:rFonts w:ascii="Helvetica" w:eastAsia="Times New Roman" w:hAnsi="Helvetica" w:cs="Helvetica"/>
          <w:i/>
          <w:color w:val="0A1B32"/>
          <w:sz w:val="27"/>
          <w:szCs w:val="27"/>
          <w:lang w:val="en-US" w:eastAsia="pl-PL"/>
        </w:rPr>
        <w:t>Another school of thought i</w:t>
      </w:r>
      <w:r>
        <w:rPr>
          <w:rFonts w:ascii="Helvetica" w:eastAsia="Times New Roman" w:hAnsi="Helvetica" w:cs="Helvetica"/>
          <w:i/>
          <w:color w:val="0A1B32"/>
          <w:sz w:val="27"/>
          <w:szCs w:val="27"/>
          <w:lang w:val="en-US" w:eastAsia="pl-PL"/>
        </w:rPr>
        <w:t xml:space="preserve">s that the volatility smile and </w:t>
      </w:r>
      <w:r w:rsidRPr="00F81060">
        <w:rPr>
          <w:rFonts w:ascii="Helvetica" w:eastAsia="Times New Roman" w:hAnsi="Helvetica" w:cs="Helvetica"/>
          <w:i/>
          <w:color w:val="0A1B32"/>
          <w:sz w:val="27"/>
          <w:szCs w:val="27"/>
          <w:lang w:val="en-US" w:eastAsia="pl-PL"/>
        </w:rPr>
        <w:t xml:space="preserve">skew exist because of </w:t>
      </w:r>
      <w:r w:rsidRPr="00393CC8">
        <w:rPr>
          <w:rFonts w:ascii="Helvetica" w:eastAsia="Times New Roman" w:hAnsi="Helvetica" w:cs="Helvetica"/>
          <w:b/>
          <w:i/>
          <w:color w:val="0A1B32"/>
          <w:sz w:val="27"/>
          <w:szCs w:val="27"/>
          <w:lang w:val="en-US" w:eastAsia="pl-PL"/>
        </w:rPr>
        <w:t>supply and demand</w:t>
      </w:r>
      <w:r>
        <w:rPr>
          <w:rFonts w:ascii="Helvetica" w:eastAsia="Times New Roman" w:hAnsi="Helvetica" w:cs="Helvetica"/>
          <w:i/>
          <w:color w:val="0A1B32"/>
          <w:sz w:val="27"/>
          <w:szCs w:val="27"/>
          <w:lang w:val="en-US" w:eastAsia="pl-PL"/>
        </w:rPr>
        <w:t xml:space="preserve">. Option prices </w:t>
      </w:r>
      <w:r w:rsidRPr="00F81060">
        <w:rPr>
          <w:rFonts w:ascii="Helvetica" w:eastAsia="Times New Roman" w:hAnsi="Helvetica" w:cs="Helvetica"/>
          <w:i/>
          <w:color w:val="0A1B32"/>
          <w:sz w:val="27"/>
          <w:szCs w:val="27"/>
          <w:lang w:val="en-US" w:eastAsia="pl-PL"/>
        </w:rPr>
        <w:t>come less from an analysi</w:t>
      </w:r>
      <w:r>
        <w:rPr>
          <w:rFonts w:ascii="Helvetica" w:eastAsia="Times New Roman" w:hAnsi="Helvetica" w:cs="Helvetica"/>
          <w:i/>
          <w:color w:val="0A1B32"/>
          <w:sz w:val="27"/>
          <w:szCs w:val="27"/>
          <w:lang w:val="en-US" w:eastAsia="pl-PL"/>
        </w:rPr>
        <w:t xml:space="preserve">s of probability of tail events </w:t>
      </w:r>
      <w:r w:rsidRPr="00F81060">
        <w:rPr>
          <w:rFonts w:ascii="Helvetica" w:eastAsia="Times New Roman" w:hAnsi="Helvetica" w:cs="Helvetica"/>
          <w:i/>
          <w:color w:val="0A1B32"/>
          <w:sz w:val="27"/>
          <w:szCs w:val="27"/>
          <w:lang w:val="en-US" w:eastAsia="pl-PL"/>
        </w:rPr>
        <w:t xml:space="preserve">than from simple </w:t>
      </w:r>
      <w:r>
        <w:rPr>
          <w:rFonts w:ascii="Helvetica" w:eastAsia="Times New Roman" w:hAnsi="Helvetica" w:cs="Helvetica"/>
          <w:i/>
          <w:color w:val="0A1B32"/>
          <w:sz w:val="27"/>
          <w:szCs w:val="27"/>
          <w:lang w:val="en-US" w:eastAsia="pl-PL"/>
        </w:rPr>
        <w:t xml:space="preserve">agreement between a buyer and a </w:t>
      </w:r>
      <w:r w:rsidRPr="00F81060">
        <w:rPr>
          <w:rFonts w:ascii="Helvetica" w:eastAsia="Times New Roman" w:hAnsi="Helvetica" w:cs="Helvetica"/>
          <w:i/>
          <w:color w:val="0A1B32"/>
          <w:sz w:val="27"/>
          <w:szCs w:val="27"/>
          <w:lang w:val="en-US" w:eastAsia="pl-PL"/>
        </w:rPr>
        <w:t>seller</w:t>
      </w:r>
      <w:r w:rsidRPr="00393CC8">
        <w:rPr>
          <w:rFonts w:ascii="Helvetica" w:eastAsia="Times New Roman" w:hAnsi="Helvetica" w:cs="Helvetica"/>
          <w:b/>
          <w:i/>
          <w:color w:val="0A1B32"/>
          <w:sz w:val="27"/>
          <w:szCs w:val="27"/>
          <w:lang w:val="en-US" w:eastAsia="pl-PL"/>
        </w:rPr>
        <w:t>. Out-of-the-money puts are a cheap way of buying protection against a crash</w:t>
      </w:r>
      <w:r>
        <w:rPr>
          <w:rFonts w:ascii="Helvetica" w:eastAsia="Times New Roman" w:hAnsi="Helvetica" w:cs="Helvetica"/>
          <w:i/>
          <w:color w:val="0A1B32"/>
          <w:sz w:val="27"/>
          <w:szCs w:val="27"/>
          <w:lang w:val="en-US" w:eastAsia="pl-PL"/>
        </w:rPr>
        <w:t xml:space="preserve">. </w:t>
      </w:r>
      <w:r w:rsidRPr="00393CC8">
        <w:rPr>
          <w:rFonts w:ascii="Helvetica" w:eastAsia="Times New Roman" w:hAnsi="Helvetica" w:cs="Helvetica"/>
          <w:b/>
          <w:i/>
          <w:color w:val="0A1B32"/>
          <w:sz w:val="27"/>
          <w:szCs w:val="27"/>
          <w:lang w:val="en-US" w:eastAsia="pl-PL"/>
        </w:rPr>
        <w:t>But any form of insurance is expensive, after all those selling the insurance also want to make a profit</w:t>
      </w:r>
      <w:r w:rsidRPr="00F81060">
        <w:rPr>
          <w:rFonts w:ascii="Helvetica" w:eastAsia="Times New Roman" w:hAnsi="Helvetica" w:cs="Helvetica"/>
          <w:i/>
          <w:color w:val="0A1B32"/>
          <w:sz w:val="27"/>
          <w:szCs w:val="27"/>
          <w:lang w:val="en-US" w:eastAsia="pl-PL"/>
        </w:rPr>
        <w:t>. Thus out-o</w:t>
      </w:r>
      <w:r>
        <w:rPr>
          <w:rFonts w:ascii="Helvetica" w:eastAsia="Times New Roman" w:hAnsi="Helvetica" w:cs="Helvetica"/>
          <w:i/>
          <w:color w:val="0A1B32"/>
          <w:sz w:val="27"/>
          <w:szCs w:val="27"/>
          <w:lang w:val="en-US" w:eastAsia="pl-PL"/>
        </w:rPr>
        <w:t>f-the-money puts are relatively over</w:t>
      </w:r>
      <w:r w:rsidRPr="00F81060">
        <w:rPr>
          <w:rFonts w:ascii="Helvetica" w:eastAsia="Times New Roman" w:hAnsi="Helvetica" w:cs="Helvetica"/>
          <w:i/>
          <w:color w:val="0A1B32"/>
          <w:sz w:val="27"/>
          <w:szCs w:val="27"/>
          <w:lang w:val="en-US" w:eastAsia="pl-PL"/>
        </w:rPr>
        <w:t>priced. This e</w:t>
      </w:r>
      <w:r>
        <w:rPr>
          <w:rFonts w:ascii="Helvetica" w:eastAsia="Times New Roman" w:hAnsi="Helvetica" w:cs="Helvetica"/>
          <w:i/>
          <w:color w:val="0A1B32"/>
          <w:sz w:val="27"/>
          <w:szCs w:val="27"/>
          <w:lang w:val="en-US" w:eastAsia="pl-PL"/>
        </w:rPr>
        <w:t xml:space="preserve">xplains high implied volatility </w:t>
      </w:r>
      <w:r w:rsidRPr="00F81060">
        <w:rPr>
          <w:rFonts w:ascii="Helvetica" w:eastAsia="Times New Roman" w:hAnsi="Helvetica" w:cs="Helvetica"/>
          <w:i/>
          <w:color w:val="0A1B32"/>
          <w:sz w:val="27"/>
          <w:szCs w:val="27"/>
          <w:lang w:val="en-US" w:eastAsia="pl-PL"/>
        </w:rPr>
        <w:t>for low strikes. At th</w:t>
      </w:r>
      <w:r>
        <w:rPr>
          <w:rFonts w:ascii="Helvetica" w:eastAsia="Times New Roman" w:hAnsi="Helvetica" w:cs="Helvetica"/>
          <w:i/>
          <w:color w:val="0A1B32"/>
          <w:sz w:val="27"/>
          <w:szCs w:val="27"/>
          <w:lang w:val="en-US" w:eastAsia="pl-PL"/>
        </w:rPr>
        <w:t xml:space="preserve">e other end, </w:t>
      </w:r>
      <w:r w:rsidRPr="00393CC8">
        <w:rPr>
          <w:rFonts w:ascii="Helvetica" w:eastAsia="Times New Roman" w:hAnsi="Helvetica" w:cs="Helvetica"/>
          <w:b/>
          <w:i/>
          <w:color w:val="0A1B32"/>
          <w:sz w:val="27"/>
          <w:szCs w:val="27"/>
          <w:lang w:val="en-US" w:eastAsia="pl-PL"/>
        </w:rPr>
        <w:t>many people owning stock will write out-of-the-money call options (so-called covered call writing) to take in some premium, perhaps when markets are moving sideways. There will therefore be an oversupply of out-of-the-money calls, pushing the prices down.</w:t>
      </w:r>
      <w:r w:rsidRPr="00F81060">
        <w:rPr>
          <w:rFonts w:ascii="Helvetica" w:eastAsia="Times New Roman" w:hAnsi="Helvetica" w:cs="Helvetica"/>
          <w:i/>
          <w:color w:val="0A1B32"/>
          <w:sz w:val="27"/>
          <w:szCs w:val="27"/>
          <w:lang w:val="en-US" w:eastAsia="pl-PL"/>
        </w:rPr>
        <w:t xml:space="preserve"> Net result, a negat</w:t>
      </w:r>
      <w:r>
        <w:rPr>
          <w:rFonts w:ascii="Helvetica" w:eastAsia="Times New Roman" w:hAnsi="Helvetica" w:cs="Helvetica"/>
          <w:i/>
          <w:color w:val="0A1B32"/>
          <w:sz w:val="27"/>
          <w:szCs w:val="27"/>
          <w:lang w:val="en-US" w:eastAsia="pl-PL"/>
        </w:rPr>
        <w:t xml:space="preserve">ive skew. Although the </w:t>
      </w:r>
      <w:r w:rsidRPr="00F81060">
        <w:rPr>
          <w:rFonts w:ascii="Helvetica" w:eastAsia="Times New Roman" w:hAnsi="Helvetica" w:cs="Helvetica"/>
          <w:i/>
          <w:color w:val="0A1B32"/>
          <w:sz w:val="27"/>
          <w:szCs w:val="27"/>
          <w:lang w:val="en-US" w:eastAsia="pl-PL"/>
        </w:rPr>
        <w:t>simple supply/dema</w:t>
      </w:r>
      <w:r>
        <w:rPr>
          <w:rFonts w:ascii="Helvetica" w:eastAsia="Times New Roman" w:hAnsi="Helvetica" w:cs="Helvetica"/>
          <w:i/>
          <w:color w:val="0A1B32"/>
          <w:sz w:val="27"/>
          <w:szCs w:val="27"/>
          <w:lang w:val="en-US" w:eastAsia="pl-PL"/>
        </w:rPr>
        <w:t xml:space="preserve">nd explanation is popular among </w:t>
      </w:r>
      <w:r w:rsidRPr="00F81060">
        <w:rPr>
          <w:rFonts w:ascii="Helvetica" w:eastAsia="Times New Roman" w:hAnsi="Helvetica" w:cs="Helvetica"/>
          <w:i/>
          <w:color w:val="0A1B32"/>
          <w:sz w:val="27"/>
          <w:szCs w:val="27"/>
          <w:lang w:val="en-US" w:eastAsia="pl-PL"/>
        </w:rPr>
        <w:t xml:space="preserve">traders it does not sit </w:t>
      </w:r>
      <w:r>
        <w:rPr>
          <w:rFonts w:ascii="Helvetica" w:eastAsia="Times New Roman" w:hAnsi="Helvetica" w:cs="Helvetica"/>
          <w:i/>
          <w:color w:val="0A1B32"/>
          <w:sz w:val="27"/>
          <w:szCs w:val="27"/>
          <w:lang w:val="en-US" w:eastAsia="pl-PL"/>
        </w:rPr>
        <w:t xml:space="preserve">comfortably with quants because </w:t>
      </w:r>
      <w:r w:rsidRPr="00F81060">
        <w:rPr>
          <w:rFonts w:ascii="Helvetica" w:eastAsia="Times New Roman" w:hAnsi="Helvetica" w:cs="Helvetica"/>
          <w:i/>
          <w:color w:val="0A1B32"/>
          <w:sz w:val="27"/>
          <w:szCs w:val="27"/>
          <w:lang w:val="en-US" w:eastAsia="pl-PL"/>
        </w:rPr>
        <w:t>it does suggest that o</w:t>
      </w:r>
      <w:r>
        <w:rPr>
          <w:rFonts w:ascii="Helvetica" w:eastAsia="Times New Roman" w:hAnsi="Helvetica" w:cs="Helvetica"/>
          <w:i/>
          <w:color w:val="0A1B32"/>
          <w:sz w:val="27"/>
          <w:szCs w:val="27"/>
          <w:lang w:val="en-US" w:eastAsia="pl-PL"/>
        </w:rPr>
        <w:t xml:space="preserve">ptions are not correctly priced </w:t>
      </w:r>
      <w:r w:rsidRPr="00F81060">
        <w:rPr>
          <w:rFonts w:ascii="Helvetica" w:eastAsia="Times New Roman" w:hAnsi="Helvetica" w:cs="Helvetica"/>
          <w:i/>
          <w:color w:val="0A1B32"/>
          <w:sz w:val="27"/>
          <w:szCs w:val="27"/>
          <w:lang w:val="en-US" w:eastAsia="pl-PL"/>
        </w:rPr>
        <w:t xml:space="preserve">and that there </w:t>
      </w:r>
      <w:r>
        <w:rPr>
          <w:rFonts w:ascii="Helvetica" w:eastAsia="Times New Roman" w:hAnsi="Helvetica" w:cs="Helvetica"/>
          <w:i/>
          <w:color w:val="0A1B32"/>
          <w:sz w:val="27"/>
          <w:szCs w:val="27"/>
          <w:lang w:val="en-US" w:eastAsia="pl-PL"/>
        </w:rPr>
        <w:t xml:space="preserve">may be arbitrage opportunities. </w:t>
      </w:r>
      <w:r w:rsidRPr="00F81060">
        <w:rPr>
          <w:rFonts w:ascii="Helvetica" w:eastAsia="Times New Roman" w:hAnsi="Helvetica" w:cs="Helvetica"/>
          <w:i/>
          <w:color w:val="0A1B32"/>
          <w:sz w:val="27"/>
          <w:szCs w:val="27"/>
          <w:lang w:val="en-US" w:eastAsia="pl-PL"/>
        </w:rPr>
        <w:t>While on the topic of arbi</w:t>
      </w:r>
      <w:r>
        <w:rPr>
          <w:rFonts w:ascii="Helvetica" w:eastAsia="Times New Roman" w:hAnsi="Helvetica" w:cs="Helvetica"/>
          <w:i/>
          <w:color w:val="0A1B32"/>
          <w:sz w:val="27"/>
          <w:szCs w:val="27"/>
          <w:lang w:val="en-US" w:eastAsia="pl-PL"/>
        </w:rPr>
        <w:t xml:space="preserve">trage, it is worth mentioning </w:t>
      </w:r>
      <w:r w:rsidRPr="00F81060">
        <w:rPr>
          <w:rFonts w:ascii="Helvetica" w:eastAsia="Times New Roman" w:hAnsi="Helvetica" w:cs="Helvetica"/>
          <w:i/>
          <w:color w:val="0A1B32"/>
          <w:sz w:val="27"/>
          <w:szCs w:val="27"/>
          <w:lang w:val="en-US" w:eastAsia="pl-PL"/>
        </w:rPr>
        <w:t>that there are constr</w:t>
      </w:r>
      <w:r>
        <w:rPr>
          <w:rFonts w:ascii="Helvetica" w:eastAsia="Times New Roman" w:hAnsi="Helvetica" w:cs="Helvetica"/>
          <w:i/>
          <w:color w:val="0A1B32"/>
          <w:sz w:val="27"/>
          <w:szCs w:val="27"/>
          <w:lang w:val="en-US" w:eastAsia="pl-PL"/>
        </w:rPr>
        <w:t xml:space="preserve">aints on the skew and the smile </w:t>
      </w:r>
      <w:r w:rsidRPr="00F81060">
        <w:rPr>
          <w:rFonts w:ascii="Helvetica" w:eastAsia="Times New Roman" w:hAnsi="Helvetica" w:cs="Helvetica"/>
          <w:i/>
          <w:color w:val="0A1B32"/>
          <w:sz w:val="27"/>
          <w:szCs w:val="27"/>
          <w:lang w:val="en-US" w:eastAsia="pl-PL"/>
        </w:rPr>
        <w:t>that come from examinin</w:t>
      </w:r>
      <w:r>
        <w:rPr>
          <w:rFonts w:ascii="Helvetica" w:eastAsia="Times New Roman" w:hAnsi="Helvetica" w:cs="Helvetica"/>
          <w:i/>
          <w:color w:val="0A1B32"/>
          <w:sz w:val="27"/>
          <w:szCs w:val="27"/>
          <w:lang w:val="en-US" w:eastAsia="pl-PL"/>
        </w:rPr>
        <w:t xml:space="preserve">g simple option portfolios. </w:t>
      </w:r>
      <w:r w:rsidRPr="00393CC8">
        <w:rPr>
          <w:rFonts w:ascii="Helvetica" w:eastAsia="Times New Roman" w:hAnsi="Helvetica" w:cs="Helvetica"/>
          <w:b/>
          <w:i/>
          <w:color w:val="0A1B32"/>
          <w:sz w:val="27"/>
          <w:szCs w:val="27"/>
          <w:lang w:val="en-US" w:eastAsia="pl-PL"/>
        </w:rPr>
        <w:t xml:space="preserve">For example, rather obviously, the higher the strike of a call option, the lower its price. Otherwise you could make money rather easily by buying the low strike call and selling the higher strike call. This imposes </w:t>
      </w:r>
      <w:r w:rsidRPr="00393CC8">
        <w:rPr>
          <w:rFonts w:ascii="Helvetica" w:eastAsia="Times New Roman" w:hAnsi="Helvetica" w:cs="Helvetica"/>
          <w:b/>
          <w:i/>
          <w:color w:val="0A1B32"/>
          <w:sz w:val="27"/>
          <w:szCs w:val="27"/>
          <w:lang w:val="en-US" w:eastAsia="pl-PL"/>
        </w:rPr>
        <w:lastRenderedPageBreak/>
        <w:t>a constraint on the skew.</w:t>
      </w:r>
      <w:r w:rsidRPr="00F81060">
        <w:rPr>
          <w:rFonts w:ascii="Helvetica" w:eastAsia="Times New Roman" w:hAnsi="Helvetica" w:cs="Helvetica"/>
          <w:i/>
          <w:color w:val="0A1B32"/>
          <w:sz w:val="27"/>
          <w:szCs w:val="27"/>
          <w:lang w:val="en-US" w:eastAsia="pl-PL"/>
        </w:rPr>
        <w:t xml:space="preserve"> Similarly, a</w:t>
      </w:r>
      <w:r>
        <w:rPr>
          <w:rFonts w:ascii="Helvetica" w:eastAsia="Times New Roman" w:hAnsi="Helvetica" w:cs="Helvetica"/>
          <w:i/>
          <w:color w:val="0A1B32"/>
          <w:sz w:val="27"/>
          <w:szCs w:val="27"/>
          <w:lang w:val="en-US" w:eastAsia="pl-PL"/>
        </w:rPr>
        <w:t xml:space="preserve"> butterfly spread has to have a </w:t>
      </w:r>
      <w:r w:rsidRPr="00F81060">
        <w:rPr>
          <w:rFonts w:ascii="Helvetica" w:eastAsia="Times New Roman" w:hAnsi="Helvetica" w:cs="Helvetica"/>
          <w:i/>
          <w:color w:val="0A1B32"/>
          <w:sz w:val="27"/>
          <w:szCs w:val="27"/>
          <w:lang w:val="en-US" w:eastAsia="pl-PL"/>
        </w:rPr>
        <w:t>positive value since the payoff can never be negative.</w:t>
      </w:r>
    </w:p>
    <w:p w:rsidR="00393CC8" w:rsidRPr="00393CC8" w:rsidRDefault="00F81060" w:rsidP="007F6464">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F81060">
        <w:rPr>
          <w:rFonts w:ascii="Helvetica" w:eastAsia="Times New Roman" w:hAnsi="Helvetica" w:cs="Helvetica"/>
          <w:i/>
          <w:color w:val="0A1B32"/>
          <w:sz w:val="27"/>
          <w:szCs w:val="27"/>
          <w:lang w:val="en-US" w:eastAsia="pl-PL"/>
        </w:rPr>
        <w:t>This imposes a constraint</w:t>
      </w:r>
      <w:r>
        <w:rPr>
          <w:rFonts w:ascii="Helvetica" w:eastAsia="Times New Roman" w:hAnsi="Helvetica" w:cs="Helvetica"/>
          <w:i/>
          <w:color w:val="0A1B32"/>
          <w:sz w:val="27"/>
          <w:szCs w:val="27"/>
          <w:lang w:val="en-US" w:eastAsia="pl-PL"/>
        </w:rPr>
        <w:t xml:space="preserve"> on the curvature of the smile. </w:t>
      </w:r>
      <w:r w:rsidRPr="00F81060">
        <w:rPr>
          <w:rFonts w:ascii="Helvetica" w:eastAsia="Times New Roman" w:hAnsi="Helvetica" w:cs="Helvetica"/>
          <w:i/>
          <w:color w:val="0A1B32"/>
          <w:sz w:val="27"/>
          <w:szCs w:val="27"/>
          <w:lang w:val="en-US" w:eastAsia="pl-PL"/>
        </w:rPr>
        <w:t>Both of these constrain</w:t>
      </w:r>
      <w:r>
        <w:rPr>
          <w:rFonts w:ascii="Helvetica" w:eastAsia="Times New Roman" w:hAnsi="Helvetica" w:cs="Helvetica"/>
          <w:i/>
          <w:color w:val="0A1B32"/>
          <w:sz w:val="27"/>
          <w:szCs w:val="27"/>
          <w:lang w:val="en-US" w:eastAsia="pl-PL"/>
        </w:rPr>
        <w:t xml:space="preserve">ts are model independent. There </w:t>
      </w:r>
      <w:r w:rsidRPr="00F81060">
        <w:rPr>
          <w:rFonts w:ascii="Helvetica" w:eastAsia="Times New Roman" w:hAnsi="Helvetica" w:cs="Helvetica"/>
          <w:i/>
          <w:color w:val="0A1B32"/>
          <w:sz w:val="27"/>
          <w:szCs w:val="27"/>
          <w:lang w:val="en-US" w:eastAsia="pl-PL"/>
        </w:rPr>
        <w:t>are many ways to build the volatility-smile effect into an</w:t>
      </w:r>
      <w:r>
        <w:rPr>
          <w:rFonts w:ascii="Helvetica" w:eastAsia="Times New Roman" w:hAnsi="Helvetica" w:cs="Helvetica"/>
          <w:i/>
          <w:color w:val="0A1B32"/>
          <w:sz w:val="27"/>
          <w:szCs w:val="27"/>
          <w:lang w:val="en-US" w:eastAsia="pl-PL"/>
        </w:rPr>
        <w:t xml:space="preserve"> </w:t>
      </w:r>
      <w:r w:rsidRPr="00F81060">
        <w:rPr>
          <w:rFonts w:ascii="Helvetica" w:eastAsia="Times New Roman" w:hAnsi="Helvetica" w:cs="Helvetica"/>
          <w:i/>
          <w:color w:val="0A1B32"/>
          <w:sz w:val="27"/>
          <w:szCs w:val="27"/>
          <w:lang w:val="en-US" w:eastAsia="pl-PL"/>
        </w:rPr>
        <w:t>option-pricing model, and still have no arbitrage.</w:t>
      </w:r>
      <w:r w:rsidR="00393CC8" w:rsidRPr="00393CC8">
        <w:rPr>
          <w:rFonts w:ascii="Helvetica" w:eastAsia="Times New Roman" w:hAnsi="Helvetica" w:cs="Helvetica"/>
          <w:i/>
          <w:color w:val="0A1B32"/>
          <w:sz w:val="27"/>
          <w:szCs w:val="27"/>
          <w:lang w:val="en-US" w:eastAsia="pl-PL"/>
        </w:rPr>
        <w:t xml:space="preserve"> The</w:t>
      </w:r>
      <w:r w:rsidR="00393CC8">
        <w:rPr>
          <w:rFonts w:ascii="Helvetica" w:eastAsia="Times New Roman" w:hAnsi="Helvetica" w:cs="Helvetica"/>
          <w:i/>
          <w:color w:val="0A1B32"/>
          <w:sz w:val="27"/>
          <w:szCs w:val="27"/>
          <w:lang w:val="en-US" w:eastAsia="pl-PL"/>
        </w:rPr>
        <w:t xml:space="preserve"> </w:t>
      </w:r>
      <w:r w:rsidR="00393CC8" w:rsidRPr="00393CC8">
        <w:rPr>
          <w:rFonts w:ascii="Helvetica" w:eastAsia="Times New Roman" w:hAnsi="Helvetica" w:cs="Helvetica"/>
          <w:i/>
          <w:color w:val="0A1B32"/>
          <w:sz w:val="27"/>
          <w:szCs w:val="27"/>
          <w:lang w:val="en-US" w:eastAsia="pl-PL"/>
        </w:rPr>
        <w:t>most popular are, in order of complexity, as follows</w:t>
      </w:r>
    </w:p>
    <w:p w:rsidR="00393CC8" w:rsidRPr="00393CC8" w:rsidRDefault="00393CC8" w:rsidP="00393CC8">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393CC8">
        <w:rPr>
          <w:rFonts w:ascii="Helvetica" w:eastAsia="Times New Roman" w:hAnsi="Helvetica" w:cs="Helvetica" w:hint="eastAsia"/>
          <w:i/>
          <w:color w:val="0A1B32"/>
          <w:sz w:val="27"/>
          <w:szCs w:val="27"/>
          <w:lang w:val="en-US" w:eastAsia="pl-PL"/>
        </w:rPr>
        <w:t>•</w:t>
      </w:r>
      <w:r w:rsidRPr="00393CC8">
        <w:rPr>
          <w:rFonts w:ascii="Helvetica" w:eastAsia="Times New Roman" w:hAnsi="Helvetica" w:cs="Helvetica"/>
          <w:i/>
          <w:color w:val="0A1B32"/>
          <w:sz w:val="27"/>
          <w:szCs w:val="27"/>
          <w:lang w:val="en-US" w:eastAsia="pl-PL"/>
        </w:rPr>
        <w:t xml:space="preserve"> Deterministic volatility surface</w:t>
      </w:r>
    </w:p>
    <w:p w:rsidR="00393CC8" w:rsidRPr="00393CC8" w:rsidRDefault="00393CC8" w:rsidP="00393CC8">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393CC8">
        <w:rPr>
          <w:rFonts w:ascii="Helvetica" w:eastAsia="Times New Roman" w:hAnsi="Helvetica" w:cs="Helvetica" w:hint="eastAsia"/>
          <w:i/>
          <w:color w:val="0A1B32"/>
          <w:sz w:val="27"/>
          <w:szCs w:val="27"/>
          <w:lang w:val="en-US" w:eastAsia="pl-PL"/>
        </w:rPr>
        <w:t>•</w:t>
      </w:r>
      <w:r w:rsidRPr="00393CC8">
        <w:rPr>
          <w:rFonts w:ascii="Helvetica" w:eastAsia="Times New Roman" w:hAnsi="Helvetica" w:cs="Helvetica"/>
          <w:i/>
          <w:color w:val="0A1B32"/>
          <w:sz w:val="27"/>
          <w:szCs w:val="27"/>
          <w:lang w:val="en-US" w:eastAsia="pl-PL"/>
        </w:rPr>
        <w:t xml:space="preserve"> Stochastic volatility</w:t>
      </w:r>
    </w:p>
    <w:p w:rsidR="00F81060" w:rsidRPr="00393CC8" w:rsidRDefault="00393CC8" w:rsidP="00393CC8">
      <w:pPr>
        <w:spacing w:after="100" w:afterAutospacing="1" w:line="240" w:lineRule="auto"/>
        <w:jc w:val="both"/>
        <w:rPr>
          <w:rFonts w:ascii="Helvetica" w:eastAsia="Times New Roman" w:hAnsi="Helvetica" w:cs="Helvetica"/>
          <w:i/>
          <w:color w:val="0A1B32"/>
          <w:sz w:val="27"/>
          <w:szCs w:val="27"/>
          <w:lang w:val="en-US" w:eastAsia="pl-PL"/>
        </w:rPr>
      </w:pPr>
      <w:r w:rsidRPr="00393CC8">
        <w:rPr>
          <w:rFonts w:ascii="Helvetica" w:eastAsia="Times New Roman" w:hAnsi="Helvetica" w:cs="Helvetica" w:hint="eastAsia"/>
          <w:i/>
          <w:color w:val="0A1B32"/>
          <w:sz w:val="27"/>
          <w:szCs w:val="27"/>
          <w:lang w:val="en-US" w:eastAsia="pl-PL"/>
        </w:rPr>
        <w:t>•</w:t>
      </w:r>
      <w:r w:rsidRPr="00393CC8">
        <w:rPr>
          <w:rFonts w:ascii="Helvetica" w:eastAsia="Times New Roman" w:hAnsi="Helvetica" w:cs="Helvetica"/>
          <w:i/>
          <w:color w:val="0A1B32"/>
          <w:sz w:val="27"/>
          <w:szCs w:val="27"/>
          <w:lang w:val="en-US" w:eastAsia="pl-PL"/>
        </w:rPr>
        <w:t xml:space="preserve"> Jump diffusion</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27. What are the Greeks?</w:t>
      </w:r>
    </w:p>
    <w:p w:rsidR="008E0E50" w:rsidRPr="008E0E50" w:rsidRDefault="008E0E50" w:rsidP="008E0E50">
      <w:pPr>
        <w:numPr>
          <w:ilvl w:val="0"/>
          <w:numId w:val="13"/>
        </w:numPr>
        <w:spacing w:before="100" w:beforeAutospacing="1" w:after="390" w:line="420" w:lineRule="atLeast"/>
        <w:rPr>
          <w:rFonts w:ascii="Helvetica" w:eastAsia="Times New Roman" w:hAnsi="Helvetica" w:cs="Helvetica"/>
          <w:i/>
          <w:color w:val="0A1B32"/>
          <w:sz w:val="27"/>
          <w:szCs w:val="27"/>
          <w:lang w:val="en-US" w:eastAsia="pl-PL"/>
        </w:rPr>
      </w:pPr>
      <w:r w:rsidRPr="008E0E50">
        <w:rPr>
          <w:rFonts w:eastAsia="Times New Roman"/>
          <w:b/>
          <w:bCs/>
          <w:i/>
          <w:color w:val="0A1B32"/>
          <w:sz w:val="27"/>
          <w:szCs w:val="27"/>
          <w:lang w:val="en-US" w:eastAsia="pl-PL"/>
        </w:rPr>
        <w:t>Delta</w:t>
      </w:r>
      <w:r w:rsidRPr="008E0E50">
        <w:rPr>
          <w:rFonts w:ascii="Helvetica" w:eastAsia="Times New Roman" w:hAnsi="Helvetica" w:cs="Helvetica"/>
          <w:i/>
          <w:color w:val="0A1B32"/>
          <w:sz w:val="27"/>
          <w:szCs w:val="27"/>
          <w:lang w:val="en-US" w:eastAsia="pl-PL"/>
        </w:rPr>
        <w:t>, which can help you gauge the likelihood an option will expire in-the-money (ITM), meaning its strike price is below (for calls) or above (for puts) the underlying security’s market price.</w:t>
      </w:r>
    </w:p>
    <w:p w:rsidR="008E0E50" w:rsidRPr="008E0E50" w:rsidRDefault="008E0E50" w:rsidP="007A1F38">
      <w:pPr>
        <w:numPr>
          <w:ilvl w:val="0"/>
          <w:numId w:val="13"/>
        </w:numPr>
        <w:spacing w:before="100" w:beforeAutospacing="1" w:after="390" w:line="420" w:lineRule="atLeast"/>
        <w:jc w:val="both"/>
        <w:rPr>
          <w:rFonts w:ascii="Helvetica" w:eastAsia="Times New Roman" w:hAnsi="Helvetica" w:cs="Helvetica"/>
          <w:i/>
          <w:color w:val="0A1B32"/>
          <w:sz w:val="27"/>
          <w:szCs w:val="27"/>
          <w:lang w:val="en-US" w:eastAsia="pl-PL"/>
        </w:rPr>
      </w:pPr>
      <w:r w:rsidRPr="008E0E50">
        <w:rPr>
          <w:rFonts w:eastAsia="Times New Roman"/>
          <w:b/>
          <w:bCs/>
          <w:i/>
          <w:color w:val="0A1B32"/>
          <w:sz w:val="27"/>
          <w:szCs w:val="27"/>
          <w:lang w:val="en-US" w:eastAsia="pl-PL"/>
        </w:rPr>
        <w:t>Gamma</w:t>
      </w:r>
      <w:r w:rsidRPr="008E0E50">
        <w:rPr>
          <w:rFonts w:ascii="Helvetica" w:eastAsia="Times New Roman" w:hAnsi="Helvetica" w:cs="Helvetica"/>
          <w:i/>
          <w:color w:val="0A1B32"/>
          <w:sz w:val="27"/>
          <w:szCs w:val="27"/>
          <w:lang w:val="en-US" w:eastAsia="pl-PL"/>
        </w:rPr>
        <w:t>, which can help you estimate how much the Delta might change if the stock price changes.</w:t>
      </w:r>
    </w:p>
    <w:p w:rsidR="008E0E50" w:rsidRPr="008E0E50" w:rsidRDefault="008E0E50" w:rsidP="007A1F38">
      <w:pPr>
        <w:numPr>
          <w:ilvl w:val="0"/>
          <w:numId w:val="13"/>
        </w:numPr>
        <w:spacing w:before="100" w:beforeAutospacing="1" w:after="390" w:line="420" w:lineRule="atLeast"/>
        <w:jc w:val="both"/>
        <w:rPr>
          <w:rFonts w:ascii="Helvetica" w:eastAsia="Times New Roman" w:hAnsi="Helvetica" w:cs="Helvetica"/>
          <w:i/>
          <w:color w:val="0A1B32"/>
          <w:sz w:val="27"/>
          <w:szCs w:val="27"/>
          <w:lang w:val="en-US" w:eastAsia="pl-PL"/>
        </w:rPr>
      </w:pPr>
      <w:r w:rsidRPr="008E0E50">
        <w:rPr>
          <w:rFonts w:eastAsia="Times New Roman"/>
          <w:b/>
          <w:bCs/>
          <w:i/>
          <w:color w:val="0A1B32"/>
          <w:sz w:val="27"/>
          <w:szCs w:val="27"/>
          <w:lang w:val="en-US" w:eastAsia="pl-PL"/>
        </w:rPr>
        <w:t>Theta</w:t>
      </w:r>
      <w:r w:rsidRPr="008E0E50">
        <w:rPr>
          <w:rFonts w:ascii="Helvetica" w:eastAsia="Times New Roman" w:hAnsi="Helvetica" w:cs="Helvetica"/>
          <w:i/>
          <w:color w:val="0A1B32"/>
          <w:sz w:val="27"/>
          <w:szCs w:val="27"/>
          <w:lang w:val="en-US" w:eastAsia="pl-PL"/>
        </w:rPr>
        <w:t>, which can help you measure how much value an option might lose each day as it approaches expiration.</w:t>
      </w:r>
    </w:p>
    <w:p w:rsidR="008E0E50" w:rsidRPr="008E0E50" w:rsidRDefault="008E0E50" w:rsidP="007A1F38">
      <w:pPr>
        <w:numPr>
          <w:ilvl w:val="0"/>
          <w:numId w:val="13"/>
        </w:numPr>
        <w:spacing w:before="100" w:beforeAutospacing="1" w:after="390" w:line="420" w:lineRule="atLeast"/>
        <w:jc w:val="both"/>
        <w:rPr>
          <w:rFonts w:ascii="Helvetica" w:eastAsia="Times New Roman" w:hAnsi="Helvetica" w:cs="Helvetica"/>
          <w:i/>
          <w:color w:val="0A1B32"/>
          <w:sz w:val="27"/>
          <w:szCs w:val="27"/>
          <w:lang w:val="en-US" w:eastAsia="pl-PL"/>
        </w:rPr>
      </w:pPr>
      <w:r w:rsidRPr="008E0E50">
        <w:rPr>
          <w:rFonts w:eastAsia="Times New Roman"/>
          <w:b/>
          <w:bCs/>
          <w:i/>
          <w:color w:val="0A1B32"/>
          <w:sz w:val="27"/>
          <w:szCs w:val="27"/>
          <w:lang w:val="en-US" w:eastAsia="pl-PL"/>
        </w:rPr>
        <w:t>Vega</w:t>
      </w:r>
      <w:r w:rsidRPr="008E0E50">
        <w:rPr>
          <w:rFonts w:ascii="Helvetica" w:eastAsia="Times New Roman" w:hAnsi="Helvetica" w:cs="Helvetica"/>
          <w:i/>
          <w:color w:val="0A1B32"/>
          <w:sz w:val="27"/>
          <w:szCs w:val="27"/>
          <w:lang w:val="en-US" w:eastAsia="pl-PL"/>
        </w:rPr>
        <w:t>, which can help you understand how sensitive an option might be to large price swings in the underlying stock.</w:t>
      </w:r>
    </w:p>
    <w:p w:rsidR="008E0E50" w:rsidRPr="008E0E50" w:rsidRDefault="008E0E50" w:rsidP="007A1F38">
      <w:pPr>
        <w:numPr>
          <w:ilvl w:val="0"/>
          <w:numId w:val="13"/>
        </w:numPr>
        <w:spacing w:before="100" w:beforeAutospacing="1" w:after="390" w:line="420" w:lineRule="atLeast"/>
        <w:jc w:val="both"/>
        <w:rPr>
          <w:rFonts w:ascii="Helvetica" w:eastAsia="Times New Roman" w:hAnsi="Helvetica" w:cs="Helvetica"/>
          <w:i/>
          <w:color w:val="0A1B32"/>
          <w:sz w:val="27"/>
          <w:szCs w:val="27"/>
          <w:lang w:val="en-US" w:eastAsia="pl-PL"/>
        </w:rPr>
      </w:pPr>
      <w:r w:rsidRPr="008E0E50">
        <w:rPr>
          <w:rFonts w:eastAsia="Times New Roman"/>
          <w:b/>
          <w:bCs/>
          <w:i/>
          <w:color w:val="0A1B32"/>
          <w:sz w:val="27"/>
          <w:szCs w:val="27"/>
          <w:lang w:val="en-US" w:eastAsia="pl-PL"/>
        </w:rPr>
        <w:t>Rho</w:t>
      </w:r>
      <w:r w:rsidRPr="008E0E50">
        <w:rPr>
          <w:rFonts w:ascii="Helvetica" w:eastAsia="Times New Roman" w:hAnsi="Helvetica" w:cs="Helvetica"/>
          <w:i/>
          <w:color w:val="0A1B32"/>
          <w:sz w:val="27"/>
          <w:szCs w:val="27"/>
          <w:lang w:val="en-US" w:eastAsia="pl-PL"/>
        </w:rPr>
        <w:t>, which can help you simulate the effect of interest rate changes on an option.</w:t>
      </w:r>
    </w:p>
    <w:p w:rsidR="008E0E50" w:rsidRDefault="008E0E50" w:rsidP="00B01777">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Now that you’ve been introduced, we can explore these calculations in more detail.  </w:t>
      </w:r>
    </w:p>
    <w:p w:rsidR="008E0E50" w:rsidRPr="008E0E50" w:rsidRDefault="008E0E50" w:rsidP="008E0E50">
      <w:pPr>
        <w:pStyle w:val="NormalWeb"/>
        <w:spacing w:before="240" w:beforeAutospacing="0" w:after="0" w:afterAutospacing="0" w:line="420" w:lineRule="atLeast"/>
        <w:rPr>
          <w:rFonts w:ascii="Helvetica" w:hAnsi="Helvetica" w:cs="Helvetica"/>
          <w:i/>
          <w:color w:val="0A1B32"/>
          <w:sz w:val="27"/>
          <w:szCs w:val="27"/>
          <w:lang w:val="en-US"/>
        </w:rPr>
      </w:pPr>
      <w:r w:rsidRPr="008E0E50">
        <w:rPr>
          <w:rFonts w:ascii="Helvetica" w:hAnsi="Helvetica" w:cs="Helvetica"/>
          <w:b/>
          <w:i/>
          <w:color w:val="0A1B32"/>
          <w:sz w:val="27"/>
          <w:szCs w:val="27"/>
          <w:lang w:val="en-US"/>
        </w:rPr>
        <w:t>Delta</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Delta measures </w:t>
      </w:r>
      <w:r w:rsidRPr="008E0E50">
        <w:rPr>
          <w:iCs/>
          <w:color w:val="0A1B32"/>
          <w:sz w:val="27"/>
          <w:szCs w:val="27"/>
          <w:lang w:val="en-US"/>
        </w:rPr>
        <w:t>how much an option’s price can be expected to move</w:t>
      </w:r>
      <w:r w:rsidRPr="008E0E50">
        <w:rPr>
          <w:rFonts w:ascii="Helvetica" w:hAnsi="Helvetica" w:cs="Helvetica"/>
          <w:i/>
          <w:color w:val="0A1B32"/>
          <w:sz w:val="27"/>
          <w:szCs w:val="27"/>
          <w:lang w:val="en-US"/>
        </w:rPr>
        <w:t xml:space="preserve"> for every $1 change in the price of the underlying security or index. For example, a Delta of 0.40 means the option’s price will theoretically move $0.40 for every </w:t>
      </w:r>
      <w:r w:rsidRPr="008E0E50">
        <w:rPr>
          <w:rFonts w:ascii="Helvetica" w:hAnsi="Helvetica" w:cs="Helvetica"/>
          <w:i/>
          <w:color w:val="0A1B32"/>
          <w:sz w:val="27"/>
          <w:szCs w:val="27"/>
          <w:lang w:val="en-US"/>
        </w:rPr>
        <w:lastRenderedPageBreak/>
        <w:t>$1 change in the price of the underlying stock or index. As you might guess, this means the higher the Delta, the bigger the price change.</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Traders often use Delta to predict whether a given option will expire ITM. So, a Delta of 0.40 is taken to mean that at that moment in time, the option has about a 40% chance of being ITM at expiration. This doesn’t mean higher-Delta options are always profitable. After all, if you paid a large premium for an option that expires ITM, you might not make any money.</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You can also think of Delta as the number of shares of the underlying stock the option behaves like. So, a Delta of 0.40 suggests that given a $1 move in the underlying stock, the option will likely gain or lose about the same amount of money as 40 shares of the stock.</w:t>
      </w:r>
    </w:p>
    <w:p w:rsidR="008E0E50" w:rsidRPr="008E0E50" w:rsidRDefault="008E0E50" w:rsidP="008E0E50">
      <w:pPr>
        <w:pStyle w:val="NormalWeb"/>
        <w:spacing w:before="240" w:beforeAutospacing="0" w:after="0" w:afterAutospacing="0" w:line="420" w:lineRule="atLeast"/>
        <w:jc w:val="both"/>
        <w:rPr>
          <w:rFonts w:ascii="Helvetica" w:hAnsi="Helvetica" w:cs="Helvetica"/>
          <w:b/>
          <w:i/>
          <w:color w:val="0A1B32"/>
          <w:sz w:val="27"/>
          <w:szCs w:val="27"/>
          <w:lang w:val="en-US"/>
        </w:rPr>
      </w:pPr>
      <w:r w:rsidRPr="008E0E50">
        <w:rPr>
          <w:b/>
          <w:bCs/>
          <w:i/>
          <w:color w:val="0A1B32"/>
          <w:sz w:val="27"/>
          <w:szCs w:val="27"/>
          <w:lang w:val="en-US"/>
        </w:rPr>
        <w:t>Call options</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Call options have a positive Delta that can range from 0.00 to 1.00.</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At-the-money options usually have a Delta near 0.50.</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The Delta will increase (and approach 1.00) as the option gets deeper ITM.</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The Delta of ITM call options will get closer to 1.00 as expiration approaches.</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The Delta of out-of-the-money call options will get closer to 0.00 as expiration approaches.</w:t>
      </w:r>
    </w:p>
    <w:p w:rsidR="008E0E50" w:rsidRPr="008E0E50" w:rsidRDefault="008E0E50" w:rsidP="008E0E50">
      <w:pPr>
        <w:pStyle w:val="NormalWeb"/>
        <w:spacing w:before="240" w:beforeAutospacing="0" w:after="0" w:afterAutospacing="0" w:line="420" w:lineRule="atLeast"/>
        <w:jc w:val="both"/>
        <w:rPr>
          <w:rFonts w:ascii="Helvetica" w:hAnsi="Helvetica" w:cs="Helvetica"/>
          <w:b/>
          <w:i/>
          <w:color w:val="0A1B32"/>
          <w:sz w:val="27"/>
          <w:szCs w:val="27"/>
          <w:lang w:val="en-US"/>
        </w:rPr>
      </w:pPr>
      <w:r w:rsidRPr="008E0E50">
        <w:rPr>
          <w:b/>
          <w:bCs/>
          <w:i/>
          <w:color w:val="0A1B32"/>
          <w:sz w:val="27"/>
          <w:szCs w:val="27"/>
          <w:lang w:val="en-US"/>
        </w:rPr>
        <w:t>Put options</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Put options have a negative Delta that can range from 0.00 to –1.00.</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At-the-money options usually have a Delta near –0.50.</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The Delta will decrease (and approach –1.00) as the option gets deeper ITM.</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The Delta of ITM put options will get closer to –1.00 as expiration approaches.</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lastRenderedPageBreak/>
        <w:t>The Delta of out-of-the-money put options will get closer to 0.00 as expiration approaches.  </w:t>
      </w:r>
    </w:p>
    <w:p w:rsidR="008E0E50" w:rsidRPr="008E0E50" w:rsidRDefault="008E0E50" w:rsidP="008E0E50">
      <w:pPr>
        <w:pStyle w:val="NormalWeb"/>
        <w:spacing w:before="240" w:beforeAutospacing="0" w:after="0" w:afterAutospacing="0" w:line="420" w:lineRule="atLeast"/>
        <w:jc w:val="both"/>
        <w:rPr>
          <w:rFonts w:ascii="Helvetica" w:hAnsi="Helvetica" w:cs="Helvetica"/>
          <w:b/>
          <w:i/>
          <w:color w:val="0A1B32"/>
          <w:sz w:val="27"/>
          <w:szCs w:val="27"/>
          <w:lang w:val="en-US"/>
        </w:rPr>
      </w:pPr>
      <w:r w:rsidRPr="008E0E50">
        <w:rPr>
          <w:rFonts w:ascii="Helvetica" w:hAnsi="Helvetica" w:cs="Helvetica"/>
          <w:b/>
          <w:i/>
          <w:color w:val="0A1B32"/>
          <w:sz w:val="27"/>
          <w:szCs w:val="27"/>
          <w:lang w:val="en-US"/>
        </w:rPr>
        <w:t>Gamma</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Where Delta is a snapshot </w:t>
      </w:r>
      <w:r w:rsidRPr="008E0E50">
        <w:rPr>
          <w:iCs/>
          <w:color w:val="0A1B32"/>
          <w:sz w:val="27"/>
          <w:szCs w:val="27"/>
          <w:lang w:val="en-US"/>
        </w:rPr>
        <w:t>in time</w:t>
      </w:r>
      <w:r w:rsidRPr="008E0E50">
        <w:rPr>
          <w:rFonts w:ascii="Helvetica" w:hAnsi="Helvetica" w:cs="Helvetica"/>
          <w:i/>
          <w:color w:val="0A1B32"/>
          <w:sz w:val="27"/>
          <w:szCs w:val="27"/>
          <w:lang w:val="en-US"/>
        </w:rPr>
        <w:t>, Gamma measures the rate of change in an option’s Delta </w:t>
      </w:r>
      <w:r w:rsidRPr="008E0E50">
        <w:rPr>
          <w:iCs/>
          <w:color w:val="0A1B32"/>
          <w:sz w:val="27"/>
          <w:szCs w:val="27"/>
          <w:lang w:val="en-US"/>
        </w:rPr>
        <w:t>over time</w:t>
      </w:r>
      <w:r w:rsidRPr="008E0E50">
        <w:rPr>
          <w:rFonts w:ascii="Helvetica" w:hAnsi="Helvetica" w:cs="Helvetica"/>
          <w:i/>
          <w:color w:val="0A1B32"/>
          <w:sz w:val="27"/>
          <w:szCs w:val="27"/>
          <w:lang w:val="en-US"/>
        </w:rPr>
        <w:t>. If you remember high school physics class, you can think of Delta as speed and Gamma as acceleration. In practice, Gamma is the rate of change in an option’s Delta per $1 change in the price of the underlying stock.</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In the example above, we imagined an option with a Delta of .40. If the underlying stock moves $1 and the option moves $.40 along with it, the option’s Delta is no longer 0.40. Why? This $1 move would mean the call option is now even deeper ITM, and so its Delta should move even closer to 1.00. So, let’s assume that as a result the Delta is now 0.55. The change in Delta from 0.40 to 0.55 is 0.15—this is the option’s Gamma.</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Because Delta can’t exceed 1.00, Gamma </w:t>
      </w:r>
      <w:r w:rsidRPr="008E0E50">
        <w:rPr>
          <w:iCs/>
          <w:color w:val="0A1B32"/>
          <w:sz w:val="27"/>
          <w:szCs w:val="27"/>
          <w:lang w:val="en-US"/>
        </w:rPr>
        <w:t>decreases</w:t>
      </w:r>
      <w:r w:rsidRPr="008E0E50">
        <w:rPr>
          <w:rFonts w:ascii="Helvetica" w:hAnsi="Helvetica" w:cs="Helvetica"/>
          <w:i/>
          <w:color w:val="0A1B32"/>
          <w:sz w:val="27"/>
          <w:szCs w:val="27"/>
          <w:lang w:val="en-US"/>
        </w:rPr>
        <w:t> as an option gets further ITM and Delta approaches 1.00. After all, there’s less room for acceleration as you approach top speed.  </w:t>
      </w:r>
    </w:p>
    <w:p w:rsidR="008E0E50" w:rsidRPr="008E0E50" w:rsidRDefault="008E0E50" w:rsidP="008E0E50">
      <w:pPr>
        <w:pStyle w:val="NormalWeb"/>
        <w:spacing w:before="240" w:beforeAutospacing="0" w:after="0" w:afterAutospacing="0" w:line="420" w:lineRule="atLeast"/>
        <w:jc w:val="both"/>
        <w:rPr>
          <w:rFonts w:ascii="Helvetica" w:hAnsi="Helvetica" w:cs="Helvetica"/>
          <w:b/>
          <w:i/>
          <w:color w:val="0A1B32"/>
          <w:sz w:val="27"/>
          <w:szCs w:val="27"/>
          <w:lang w:val="en-US"/>
        </w:rPr>
      </w:pPr>
      <w:r w:rsidRPr="008E0E50">
        <w:rPr>
          <w:rFonts w:ascii="Helvetica" w:hAnsi="Helvetica" w:cs="Helvetica"/>
          <w:b/>
          <w:i/>
          <w:color w:val="0A1B32"/>
          <w:sz w:val="27"/>
          <w:szCs w:val="27"/>
          <w:lang w:val="en-US"/>
        </w:rPr>
        <w:t>Theta</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Theta tells you how much the price of an option should decrease each day as the option nears expiration, if all other factors remain the same. This kind of price erosion over time is known as time decay.</w:t>
      </w:r>
    </w:p>
    <w:p w:rsidR="008E0E50" w:rsidRPr="008E0E50" w:rsidRDefault="008E0E50" w:rsidP="008E0E50">
      <w:pPr>
        <w:pStyle w:val="NormalWeb"/>
        <w:spacing w:before="240" w:beforeAutospacing="0" w:after="0" w:afterAutospacing="0" w:line="420" w:lineRule="atLeast"/>
        <w:jc w:val="both"/>
        <w:rPr>
          <w:rFonts w:ascii="Helvetica" w:hAnsi="Helvetica" w:cs="Helvetica"/>
          <w:i/>
          <w:color w:val="0A1B32"/>
          <w:sz w:val="27"/>
          <w:szCs w:val="27"/>
          <w:lang w:val="en-US"/>
        </w:rPr>
      </w:pPr>
      <w:r w:rsidRPr="008E0E50">
        <w:rPr>
          <w:rFonts w:ascii="Helvetica" w:hAnsi="Helvetica" w:cs="Helvetica"/>
          <w:i/>
          <w:color w:val="0A1B32"/>
          <w:sz w:val="27"/>
          <w:szCs w:val="27"/>
          <w:lang w:val="en-US"/>
        </w:rPr>
        <w:t>Time-value erosion is not linear, meaning the price erosion of at-the-money (ATM), just slightly out-of-the-money, and ITM options generally increases as expiration approaches, while that of far out-of-the-money (OOTM) options generally decreases as expiration approaches.  </w:t>
      </w:r>
    </w:p>
    <w:p w:rsidR="008E0E50" w:rsidRPr="00B21CC0" w:rsidRDefault="008E0E50" w:rsidP="008E0E50">
      <w:pPr>
        <w:pStyle w:val="Heading3"/>
        <w:spacing w:before="840" w:beforeAutospacing="0" w:after="0" w:afterAutospacing="0" w:line="420" w:lineRule="atLeast"/>
        <w:rPr>
          <w:rFonts w:ascii="Helvetica" w:hAnsi="Helvetica" w:cs="Helvetica"/>
          <w:bCs w:val="0"/>
          <w:color w:val="333333"/>
        </w:rPr>
      </w:pPr>
      <w:r w:rsidRPr="00B21CC0">
        <w:rPr>
          <w:rFonts w:ascii="Helvetica" w:hAnsi="Helvetica" w:cs="Helvetica"/>
          <w:bCs w:val="0"/>
          <w:color w:val="333333"/>
        </w:rPr>
        <w:t>Time-value erosion</w:t>
      </w:r>
    </w:p>
    <w:p w:rsidR="008E0E50" w:rsidRDefault="008E0E50" w:rsidP="008E0E50">
      <w:pPr>
        <w:spacing w:line="420" w:lineRule="atLeast"/>
        <w:rPr>
          <w:rFonts w:ascii="Helvetica" w:hAnsi="Helvetica" w:cs="Helvetica"/>
          <w:color w:val="333333"/>
        </w:rPr>
      </w:pPr>
      <w:r>
        <w:rPr>
          <w:rFonts w:ascii="Helvetica" w:hAnsi="Helvetica" w:cs="Helvetica"/>
          <w:noProof/>
          <w:color w:val="333333"/>
          <w:lang w:eastAsia="pl-PL"/>
        </w:rPr>
        <w:lastRenderedPageBreak/>
        <w:drawing>
          <wp:inline distT="0" distB="0" distL="0" distR="0">
            <wp:extent cx="5791200" cy="3152067"/>
            <wp:effectExtent l="0" t="0" r="0" b="0"/>
            <wp:docPr id="39" name="Picture 39" descr="https://www.schwab.com/learn/sites/g/files/eyrktu1246/files/Time-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n-image--4098" descr="https://www.schwab.com/learn/sites/g/files/eyrktu1246/files/Time-valu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590" cy="3157178"/>
                    </a:xfrm>
                    <a:prstGeom prst="rect">
                      <a:avLst/>
                    </a:prstGeom>
                    <a:noFill/>
                    <a:ln>
                      <a:noFill/>
                    </a:ln>
                  </pic:spPr>
                </pic:pic>
              </a:graphicData>
            </a:graphic>
          </wp:inline>
        </w:drawing>
      </w:r>
    </w:p>
    <w:p w:rsidR="008E0E50" w:rsidRPr="008E0E50" w:rsidRDefault="008E0E50" w:rsidP="008E0E50">
      <w:pPr>
        <w:pStyle w:val="attribution"/>
        <w:spacing w:after="240" w:afterAutospacing="0" w:line="285" w:lineRule="atLeast"/>
        <w:rPr>
          <w:rFonts w:ascii="Helvetica" w:hAnsi="Helvetica" w:cs="Helvetica"/>
          <w:color w:val="333333"/>
          <w:lang w:val="en-US"/>
        </w:rPr>
      </w:pPr>
      <w:r w:rsidRPr="008E0E50">
        <w:rPr>
          <w:rFonts w:ascii="Helvetica" w:hAnsi="Helvetica" w:cs="Helvetica"/>
          <w:color w:val="333333"/>
          <w:lang w:val="en-US"/>
        </w:rPr>
        <w:t>Source: Schwab Center for Financial Research</w:t>
      </w:r>
    </w:p>
    <w:p w:rsidR="008E0E50" w:rsidRPr="00D26F43" w:rsidRDefault="008E0E50" w:rsidP="008E0E50">
      <w:pPr>
        <w:pStyle w:val="Heading2"/>
        <w:spacing w:before="840" w:line="540" w:lineRule="atLeast"/>
        <w:rPr>
          <w:rFonts w:ascii="Helvetica" w:eastAsia="Times New Roman" w:hAnsi="Helvetica" w:cs="Helvetica"/>
          <w:b/>
          <w:i/>
          <w:color w:val="0A1B32"/>
          <w:sz w:val="27"/>
          <w:szCs w:val="27"/>
          <w:lang w:val="en-US" w:eastAsia="pl-PL"/>
        </w:rPr>
      </w:pPr>
      <w:r w:rsidRPr="00D26F43">
        <w:rPr>
          <w:rFonts w:ascii="Helvetica" w:eastAsia="Times New Roman" w:hAnsi="Helvetica" w:cs="Helvetica"/>
          <w:b/>
          <w:i/>
          <w:color w:val="0A1B32"/>
          <w:sz w:val="27"/>
          <w:szCs w:val="27"/>
          <w:lang w:val="en-US" w:eastAsia="pl-PL"/>
        </w:rPr>
        <w:t>Vega</w:t>
      </w:r>
    </w:p>
    <w:p w:rsidR="008E0E50" w:rsidRPr="00B21CC0" w:rsidRDefault="008E0E50" w:rsidP="00D26F43">
      <w:pPr>
        <w:pStyle w:val="NormalWeb"/>
        <w:spacing w:before="240" w:beforeAutospacing="0" w:after="0" w:afterAutospacing="0" w:line="420" w:lineRule="atLeast"/>
        <w:jc w:val="both"/>
        <w:rPr>
          <w:rFonts w:ascii="Helvetica" w:hAnsi="Helvetica" w:cs="Helvetica"/>
          <w:i/>
          <w:color w:val="0A1B32"/>
          <w:sz w:val="27"/>
          <w:szCs w:val="27"/>
          <w:lang w:val="en-US"/>
        </w:rPr>
      </w:pPr>
      <w:r w:rsidRPr="00B21CC0">
        <w:rPr>
          <w:rFonts w:ascii="Helvetica" w:hAnsi="Helvetica" w:cs="Helvetica"/>
          <w:i/>
          <w:color w:val="0A1B32"/>
          <w:sz w:val="27"/>
          <w:szCs w:val="27"/>
          <w:lang w:val="en-US"/>
        </w:rPr>
        <w:t>Vega measures the rate of change in an option’s price per one-percentage-point change in the implied volatility of the underlying stock. (There’s more on implied volatility below.) While Vega is not a real Greek letter, it is intended to tell you how much an option’s price should move when the volatility of the underlying security or index increases or decreases.</w:t>
      </w:r>
    </w:p>
    <w:p w:rsidR="008E0E50" w:rsidRPr="00B21CC0" w:rsidRDefault="008E0E50" w:rsidP="008E0E50">
      <w:pPr>
        <w:pStyle w:val="NormalWeb"/>
        <w:spacing w:before="240" w:beforeAutospacing="0" w:after="0" w:afterAutospacing="0" w:line="420" w:lineRule="atLeast"/>
        <w:rPr>
          <w:rFonts w:ascii="Helvetica" w:hAnsi="Helvetica" w:cs="Helvetica"/>
          <w:i/>
          <w:color w:val="0A1B32"/>
          <w:sz w:val="27"/>
          <w:szCs w:val="27"/>
          <w:lang w:val="en-US"/>
        </w:rPr>
      </w:pPr>
      <w:r w:rsidRPr="00B21CC0">
        <w:rPr>
          <w:b/>
          <w:bCs/>
          <w:i/>
          <w:color w:val="0A1B32"/>
          <w:sz w:val="27"/>
          <w:szCs w:val="27"/>
          <w:lang w:val="en-US"/>
        </w:rPr>
        <w:t>More about Vega:</w:t>
      </w:r>
    </w:p>
    <w:p w:rsidR="008E0E50" w:rsidRPr="00B21CC0" w:rsidRDefault="008E0E50" w:rsidP="008E0E50">
      <w:pPr>
        <w:numPr>
          <w:ilvl w:val="0"/>
          <w:numId w:val="16"/>
        </w:numPr>
        <w:spacing w:before="100" w:beforeAutospacing="1" w:after="390" w:line="420" w:lineRule="atLeast"/>
        <w:rPr>
          <w:rFonts w:ascii="Helvetica" w:eastAsia="Times New Roman" w:hAnsi="Helvetica" w:cs="Helvetica"/>
          <w:i/>
          <w:color w:val="0A1B32"/>
          <w:sz w:val="27"/>
          <w:szCs w:val="27"/>
          <w:lang w:val="en-US" w:eastAsia="pl-PL"/>
        </w:rPr>
      </w:pPr>
      <w:r w:rsidRPr="00B21CC0">
        <w:rPr>
          <w:rFonts w:ascii="Helvetica" w:eastAsia="Times New Roman" w:hAnsi="Helvetica" w:cs="Helvetica"/>
          <w:i/>
          <w:color w:val="0A1B32"/>
          <w:sz w:val="27"/>
          <w:szCs w:val="27"/>
          <w:lang w:val="en-US" w:eastAsia="pl-PL"/>
        </w:rPr>
        <w:t>Volatility is one of the most important factors affecting the value of options.</w:t>
      </w:r>
    </w:p>
    <w:p w:rsidR="008E0E50" w:rsidRPr="00B21CC0" w:rsidRDefault="008E0E50" w:rsidP="008E0E50">
      <w:pPr>
        <w:numPr>
          <w:ilvl w:val="0"/>
          <w:numId w:val="16"/>
        </w:numPr>
        <w:spacing w:before="100" w:beforeAutospacing="1" w:after="390" w:line="420" w:lineRule="atLeast"/>
        <w:rPr>
          <w:rFonts w:ascii="Helvetica" w:eastAsia="Times New Roman" w:hAnsi="Helvetica" w:cs="Helvetica"/>
          <w:i/>
          <w:color w:val="0A1B32"/>
          <w:sz w:val="27"/>
          <w:szCs w:val="27"/>
          <w:lang w:val="en-US" w:eastAsia="pl-PL"/>
        </w:rPr>
      </w:pPr>
      <w:r w:rsidRPr="00B21CC0">
        <w:rPr>
          <w:rFonts w:ascii="Helvetica" w:eastAsia="Times New Roman" w:hAnsi="Helvetica" w:cs="Helvetica"/>
          <w:i/>
          <w:color w:val="0A1B32"/>
          <w:sz w:val="27"/>
          <w:szCs w:val="27"/>
          <w:lang w:val="en-US" w:eastAsia="pl-PL"/>
        </w:rPr>
        <w:t>A drop in Vega will typically cause both calls and puts to lose value.</w:t>
      </w:r>
    </w:p>
    <w:p w:rsidR="008E0E50" w:rsidRPr="00B21CC0" w:rsidRDefault="008E0E50" w:rsidP="008E0E50">
      <w:pPr>
        <w:numPr>
          <w:ilvl w:val="0"/>
          <w:numId w:val="16"/>
        </w:numPr>
        <w:spacing w:before="100" w:beforeAutospacing="1" w:after="390" w:line="420" w:lineRule="atLeast"/>
        <w:rPr>
          <w:rFonts w:ascii="Helvetica" w:eastAsia="Times New Roman" w:hAnsi="Helvetica" w:cs="Helvetica"/>
          <w:i/>
          <w:color w:val="0A1B32"/>
          <w:sz w:val="27"/>
          <w:szCs w:val="27"/>
          <w:lang w:val="en-US" w:eastAsia="pl-PL"/>
        </w:rPr>
      </w:pPr>
      <w:r w:rsidRPr="00B21CC0">
        <w:rPr>
          <w:rFonts w:ascii="Helvetica" w:eastAsia="Times New Roman" w:hAnsi="Helvetica" w:cs="Helvetica"/>
          <w:i/>
          <w:color w:val="0A1B32"/>
          <w:sz w:val="27"/>
          <w:szCs w:val="27"/>
          <w:lang w:val="en-US" w:eastAsia="pl-PL"/>
        </w:rPr>
        <w:t>An increase in Vega will typically cause both calls and puts to gain value.</w:t>
      </w:r>
    </w:p>
    <w:p w:rsidR="00317B89" w:rsidRDefault="008E0E50" w:rsidP="00317B89">
      <w:pPr>
        <w:pStyle w:val="NormalWeb"/>
        <w:spacing w:before="240" w:beforeAutospacing="0" w:after="0" w:afterAutospacing="0" w:line="420" w:lineRule="atLeast"/>
        <w:jc w:val="both"/>
        <w:rPr>
          <w:rFonts w:ascii="Helvetica" w:hAnsi="Helvetica" w:cs="Helvetica"/>
          <w:i/>
          <w:color w:val="0A1B32"/>
          <w:sz w:val="27"/>
          <w:szCs w:val="27"/>
          <w:lang w:val="en-US"/>
        </w:rPr>
      </w:pPr>
      <w:r w:rsidRPr="00B21CC0">
        <w:rPr>
          <w:rFonts w:ascii="Helvetica" w:hAnsi="Helvetica" w:cs="Helvetica"/>
          <w:i/>
          <w:color w:val="0A1B32"/>
          <w:sz w:val="27"/>
          <w:szCs w:val="27"/>
          <w:lang w:val="en-US"/>
        </w:rPr>
        <w:lastRenderedPageBreak/>
        <w:t xml:space="preserve">Neglecting Vega can cause you to potentially overpay when buying options. All other factors being equal, when determining strategy, consider buying options when Vega is below “normal” levels and selling options when Vega is above “normal” levels. One way to determine this is to compare the historical volatility to the implied volatility. Chart studies for both values are available on </w:t>
      </w:r>
      <w:proofErr w:type="spellStart"/>
      <w:r w:rsidRPr="00B21CC0">
        <w:rPr>
          <w:rFonts w:ascii="Helvetica" w:hAnsi="Helvetica" w:cs="Helvetica"/>
          <w:i/>
          <w:color w:val="0A1B32"/>
          <w:sz w:val="27"/>
          <w:szCs w:val="27"/>
          <w:lang w:val="en-US"/>
        </w:rPr>
        <w:t>StreetSmart</w:t>
      </w:r>
      <w:proofErr w:type="spellEnd"/>
      <w:r w:rsidRPr="00B21CC0">
        <w:rPr>
          <w:rFonts w:ascii="Helvetica" w:hAnsi="Helvetica" w:cs="Helvetica"/>
          <w:i/>
          <w:color w:val="0A1B32"/>
          <w:sz w:val="27"/>
          <w:szCs w:val="27"/>
          <w:lang w:val="en-US"/>
        </w:rPr>
        <w:t xml:space="preserve"> Edge®.</w:t>
      </w:r>
    </w:p>
    <w:p w:rsidR="008E0E50" w:rsidRPr="00317B89" w:rsidRDefault="008E0E50" w:rsidP="00317B89">
      <w:pPr>
        <w:pStyle w:val="NormalWeb"/>
        <w:spacing w:before="240" w:beforeAutospacing="0" w:after="0" w:afterAutospacing="0" w:line="420" w:lineRule="atLeast"/>
        <w:jc w:val="both"/>
        <w:rPr>
          <w:rFonts w:ascii="Helvetica" w:hAnsi="Helvetica" w:cs="Helvetica"/>
          <w:i/>
          <w:color w:val="0A1B32"/>
          <w:sz w:val="27"/>
          <w:szCs w:val="27"/>
          <w:lang w:val="en-US"/>
        </w:rPr>
      </w:pPr>
      <w:r w:rsidRPr="00D26F43">
        <w:rPr>
          <w:rFonts w:ascii="Helvetica" w:hAnsi="Helvetica" w:cs="Helvetica"/>
          <w:b/>
          <w:i/>
          <w:color w:val="0A1B32"/>
          <w:sz w:val="27"/>
          <w:szCs w:val="27"/>
          <w:lang w:val="en-US"/>
        </w:rPr>
        <w:t>Rho</w:t>
      </w:r>
    </w:p>
    <w:p w:rsidR="008E0E50" w:rsidRPr="00B21CC0" w:rsidRDefault="008E0E50" w:rsidP="00D26F43">
      <w:pPr>
        <w:pStyle w:val="NormalWeb"/>
        <w:spacing w:before="240" w:beforeAutospacing="0" w:after="0" w:afterAutospacing="0" w:line="420" w:lineRule="atLeast"/>
        <w:jc w:val="both"/>
        <w:rPr>
          <w:rFonts w:ascii="Helvetica" w:hAnsi="Helvetica" w:cs="Helvetica"/>
          <w:i/>
          <w:color w:val="0A1B32"/>
          <w:sz w:val="27"/>
          <w:szCs w:val="27"/>
          <w:lang w:val="en-US"/>
        </w:rPr>
      </w:pPr>
      <w:r w:rsidRPr="00B21CC0">
        <w:rPr>
          <w:rFonts w:ascii="Helvetica" w:hAnsi="Helvetica" w:cs="Helvetica"/>
          <w:i/>
          <w:color w:val="0A1B32"/>
          <w:sz w:val="27"/>
          <w:szCs w:val="27"/>
          <w:lang w:val="en-US"/>
        </w:rPr>
        <w:t>Rho measures the expected change in an option’s price per one-percentage-point change in interest rates. It tells you how much the price of an option should rise or fall if the risk-free interest rate (U.S. Treasury-bills)* increases or decreases.</w:t>
      </w:r>
    </w:p>
    <w:p w:rsidR="008E0E50" w:rsidRPr="00B21CC0" w:rsidRDefault="008E0E50" w:rsidP="008E0E50">
      <w:pPr>
        <w:pStyle w:val="NormalWeb"/>
        <w:spacing w:before="240" w:beforeAutospacing="0" w:after="0" w:afterAutospacing="0" w:line="420" w:lineRule="atLeast"/>
        <w:rPr>
          <w:rFonts w:ascii="Helvetica" w:hAnsi="Helvetica" w:cs="Helvetica"/>
          <w:i/>
          <w:color w:val="0A1B32"/>
          <w:sz w:val="27"/>
          <w:szCs w:val="27"/>
          <w:lang w:val="en-US"/>
        </w:rPr>
      </w:pPr>
      <w:r w:rsidRPr="00B21CC0">
        <w:rPr>
          <w:b/>
          <w:bCs/>
          <w:i/>
          <w:color w:val="0A1B32"/>
          <w:sz w:val="27"/>
          <w:szCs w:val="27"/>
          <w:lang w:val="en-US"/>
        </w:rPr>
        <w:t>More about Rho:</w:t>
      </w:r>
    </w:p>
    <w:p w:rsidR="008E0E50" w:rsidRPr="00B21CC0" w:rsidRDefault="008E0E50" w:rsidP="008E0E50">
      <w:pPr>
        <w:numPr>
          <w:ilvl w:val="0"/>
          <w:numId w:val="17"/>
        </w:numPr>
        <w:spacing w:before="100" w:beforeAutospacing="1" w:after="390" w:line="420" w:lineRule="atLeast"/>
        <w:rPr>
          <w:rFonts w:ascii="Helvetica" w:eastAsia="Times New Roman" w:hAnsi="Helvetica" w:cs="Helvetica"/>
          <w:i/>
          <w:color w:val="0A1B32"/>
          <w:sz w:val="27"/>
          <w:szCs w:val="27"/>
          <w:lang w:val="en-US" w:eastAsia="pl-PL"/>
        </w:rPr>
      </w:pPr>
      <w:r w:rsidRPr="00B21CC0">
        <w:rPr>
          <w:rFonts w:ascii="Helvetica" w:eastAsia="Times New Roman" w:hAnsi="Helvetica" w:cs="Helvetica"/>
          <w:i/>
          <w:color w:val="0A1B32"/>
          <w:sz w:val="27"/>
          <w:szCs w:val="27"/>
          <w:lang w:val="en-US" w:eastAsia="pl-PL"/>
        </w:rPr>
        <w:t>As interest rates increase, the value of call options will generally increase.</w:t>
      </w:r>
    </w:p>
    <w:p w:rsidR="008E0E50" w:rsidRPr="00B21CC0" w:rsidRDefault="008E0E50" w:rsidP="008E0E50">
      <w:pPr>
        <w:numPr>
          <w:ilvl w:val="0"/>
          <w:numId w:val="17"/>
        </w:numPr>
        <w:spacing w:before="100" w:beforeAutospacing="1" w:after="390" w:line="420" w:lineRule="atLeast"/>
        <w:rPr>
          <w:rFonts w:ascii="Helvetica" w:eastAsia="Times New Roman" w:hAnsi="Helvetica" w:cs="Helvetica"/>
          <w:i/>
          <w:color w:val="0A1B32"/>
          <w:sz w:val="27"/>
          <w:szCs w:val="27"/>
          <w:lang w:val="en-US" w:eastAsia="pl-PL"/>
        </w:rPr>
      </w:pPr>
      <w:r w:rsidRPr="00B21CC0">
        <w:rPr>
          <w:rFonts w:ascii="Helvetica" w:eastAsia="Times New Roman" w:hAnsi="Helvetica" w:cs="Helvetica"/>
          <w:i/>
          <w:color w:val="0A1B32"/>
          <w:sz w:val="27"/>
          <w:szCs w:val="27"/>
          <w:lang w:val="en-US" w:eastAsia="pl-PL"/>
        </w:rPr>
        <w:t>As interest rates increase, the value of put options will usually decrease.</w:t>
      </w:r>
    </w:p>
    <w:p w:rsidR="008E0E50" w:rsidRPr="00B21CC0" w:rsidRDefault="008E0E50" w:rsidP="008E0E50">
      <w:pPr>
        <w:numPr>
          <w:ilvl w:val="0"/>
          <w:numId w:val="17"/>
        </w:numPr>
        <w:spacing w:before="100" w:beforeAutospacing="1" w:after="390" w:line="420" w:lineRule="atLeast"/>
        <w:rPr>
          <w:rFonts w:ascii="Helvetica" w:eastAsia="Times New Roman" w:hAnsi="Helvetica" w:cs="Helvetica"/>
          <w:i/>
          <w:color w:val="0A1B32"/>
          <w:sz w:val="27"/>
          <w:szCs w:val="27"/>
          <w:lang w:val="en-US" w:eastAsia="pl-PL"/>
        </w:rPr>
      </w:pPr>
      <w:r w:rsidRPr="00B21CC0">
        <w:rPr>
          <w:rFonts w:ascii="Helvetica" w:eastAsia="Times New Roman" w:hAnsi="Helvetica" w:cs="Helvetica"/>
          <w:i/>
          <w:color w:val="0A1B32"/>
          <w:sz w:val="27"/>
          <w:szCs w:val="27"/>
          <w:lang w:val="en-US" w:eastAsia="pl-PL"/>
        </w:rPr>
        <w:t>For these reasons, call options have positive Rho and put options have negative Rho.</w:t>
      </w:r>
    </w:p>
    <w:p w:rsidR="008E0E50" w:rsidRPr="00B21CC0" w:rsidRDefault="008E0E50" w:rsidP="00D26F43">
      <w:pPr>
        <w:pStyle w:val="NormalWeb"/>
        <w:spacing w:before="240" w:beforeAutospacing="0" w:after="0" w:afterAutospacing="0" w:line="420" w:lineRule="atLeast"/>
        <w:jc w:val="both"/>
        <w:rPr>
          <w:rFonts w:ascii="Helvetica" w:hAnsi="Helvetica" w:cs="Helvetica"/>
          <w:i/>
          <w:color w:val="0A1B32"/>
          <w:sz w:val="27"/>
          <w:szCs w:val="27"/>
          <w:lang w:val="en-US"/>
        </w:rPr>
      </w:pPr>
      <w:r w:rsidRPr="00B21CC0">
        <w:rPr>
          <w:rFonts w:ascii="Helvetica" w:hAnsi="Helvetica" w:cs="Helvetica"/>
          <w:i/>
          <w:color w:val="0A1B32"/>
          <w:sz w:val="27"/>
          <w:szCs w:val="27"/>
          <w:lang w:val="en-US"/>
        </w:rPr>
        <w:t>Consider a hypothetical stock that’s trading exactly at its strike price. If the stock is trading at $25, the 25 calls and the 25 puts would both be exactly at the money. You might see the calls trading at, say, $0.60, while the puts could be trading at $0.50. When interest rates are low, the price difference between puts and calls will be relatively small. If interest rates increase, the gap will get wider—calls will become more expensive and puts will become less so.</w:t>
      </w:r>
    </w:p>
    <w:p w:rsidR="008E0E50" w:rsidRPr="00B21CC0" w:rsidRDefault="008E0E50" w:rsidP="00D26F43">
      <w:pPr>
        <w:pStyle w:val="NormalWeb"/>
        <w:spacing w:before="240" w:beforeAutospacing="0" w:after="0" w:afterAutospacing="0" w:line="420" w:lineRule="atLeast"/>
        <w:jc w:val="both"/>
        <w:rPr>
          <w:rFonts w:ascii="Helvetica" w:hAnsi="Helvetica" w:cs="Helvetica"/>
          <w:i/>
          <w:color w:val="0A1B32"/>
          <w:sz w:val="27"/>
          <w:szCs w:val="27"/>
          <w:lang w:val="en-US"/>
        </w:rPr>
      </w:pPr>
      <w:r w:rsidRPr="00B21CC0">
        <w:rPr>
          <w:rFonts w:ascii="Helvetica" w:hAnsi="Helvetica" w:cs="Helvetica"/>
          <w:i/>
          <w:color w:val="0A1B32"/>
          <w:sz w:val="27"/>
          <w:szCs w:val="27"/>
          <w:lang w:val="en-US"/>
        </w:rPr>
        <w:t>Rho is generally not a huge factor in the price of an option, but should be considered if prevailing interest rates are expected to change, such as just before a Federal Open Market Committee (FOMC) meeting.</w:t>
      </w:r>
    </w:p>
    <w:p w:rsidR="00547630" w:rsidRDefault="008E0E50" w:rsidP="00D26F43">
      <w:pPr>
        <w:pStyle w:val="NormalWeb"/>
        <w:spacing w:before="240" w:beforeAutospacing="0" w:after="0" w:afterAutospacing="0" w:line="420" w:lineRule="atLeast"/>
        <w:jc w:val="both"/>
        <w:rPr>
          <w:rFonts w:ascii="Helvetica" w:hAnsi="Helvetica" w:cs="Helvetica"/>
          <w:i/>
          <w:color w:val="0A1B32"/>
          <w:sz w:val="27"/>
          <w:szCs w:val="27"/>
          <w:lang w:val="en-US"/>
        </w:rPr>
      </w:pPr>
      <w:r w:rsidRPr="00B21CC0">
        <w:rPr>
          <w:rFonts w:ascii="Helvetica" w:hAnsi="Helvetica" w:cs="Helvetica"/>
          <w:i/>
          <w:color w:val="0A1B32"/>
          <w:sz w:val="27"/>
          <w:szCs w:val="27"/>
          <w:lang w:val="en-US"/>
        </w:rPr>
        <w:lastRenderedPageBreak/>
        <w:t xml:space="preserve">Long-Term Equity </w:t>
      </w:r>
      <w:proofErr w:type="spellStart"/>
      <w:r w:rsidRPr="00B21CC0">
        <w:rPr>
          <w:rFonts w:ascii="Helvetica" w:hAnsi="Helvetica" w:cs="Helvetica"/>
          <w:i/>
          <w:color w:val="0A1B32"/>
          <w:sz w:val="27"/>
          <w:szCs w:val="27"/>
          <w:lang w:val="en-US"/>
        </w:rPr>
        <w:t>AnticiPation</w:t>
      </w:r>
      <w:proofErr w:type="spellEnd"/>
      <w:r w:rsidRPr="00B21CC0">
        <w:rPr>
          <w:rFonts w:ascii="Helvetica" w:hAnsi="Helvetica" w:cs="Helvetica"/>
          <w:i/>
          <w:color w:val="0A1B32"/>
          <w:sz w:val="27"/>
          <w:szCs w:val="27"/>
          <w:lang w:val="en-US"/>
        </w:rPr>
        <w:t xml:space="preserve"> Securities® (LEAPS®) options are far more sensitive to changes in interest rates than are shorter-term options.   </w:t>
      </w:r>
    </w:p>
    <w:p w:rsidR="008E0E50" w:rsidRPr="00D26F43" w:rsidRDefault="008E0E50" w:rsidP="00547630">
      <w:pPr>
        <w:pStyle w:val="NormalWeb"/>
        <w:spacing w:before="240" w:beforeAutospacing="0" w:after="0" w:afterAutospacing="0" w:line="420" w:lineRule="atLeast"/>
        <w:rPr>
          <w:rFonts w:ascii="Helvetica" w:hAnsi="Helvetica" w:cs="Helvetica"/>
          <w:b/>
          <w:i/>
          <w:color w:val="0A1B32"/>
          <w:sz w:val="27"/>
          <w:szCs w:val="27"/>
          <w:lang w:val="en-US"/>
        </w:rPr>
      </w:pPr>
      <w:r w:rsidRPr="00D26F43">
        <w:rPr>
          <w:rFonts w:ascii="Helvetica" w:hAnsi="Helvetica" w:cs="Helvetica"/>
          <w:b/>
          <w:i/>
          <w:color w:val="0A1B32"/>
          <w:sz w:val="27"/>
          <w:szCs w:val="27"/>
          <w:lang w:val="en-US"/>
        </w:rPr>
        <w:t>Implied volatility: like a Greek</w:t>
      </w:r>
    </w:p>
    <w:p w:rsidR="008E0E50" w:rsidRPr="00B21CC0" w:rsidRDefault="008E0E50" w:rsidP="00D26F43">
      <w:pPr>
        <w:pStyle w:val="NormalWeb"/>
        <w:spacing w:before="240" w:beforeAutospacing="0" w:after="0" w:afterAutospacing="0" w:line="420" w:lineRule="atLeast"/>
        <w:jc w:val="both"/>
        <w:rPr>
          <w:rFonts w:ascii="Helvetica" w:hAnsi="Helvetica" w:cs="Helvetica"/>
          <w:i/>
          <w:color w:val="0A1B32"/>
          <w:sz w:val="27"/>
          <w:szCs w:val="27"/>
          <w:lang w:val="en-US"/>
        </w:rPr>
      </w:pPr>
      <w:r w:rsidRPr="00B21CC0">
        <w:rPr>
          <w:rFonts w:ascii="Helvetica" w:hAnsi="Helvetica" w:cs="Helvetica"/>
          <w:i/>
          <w:color w:val="0A1B32"/>
          <w:sz w:val="27"/>
          <w:szCs w:val="27"/>
          <w:lang w:val="en-US"/>
        </w:rPr>
        <w:t>Though not actually a Greek, implied volatility is closely related. Implied volatility is a forecast of how volatile an underlying stock is expected to be in the future—but it’s strictly theoretical. While it’s possible to forecast a stock’s future moves by looking at its historical volatility, among other factors, the implied volatility reflected in the price of an option is an inference based on other factors, too, such as upcoming earnings reports, merger and acquisition rumors, pending product launches, etc.</w:t>
      </w:r>
    </w:p>
    <w:p w:rsidR="008E0E50" w:rsidRPr="00B21CC0" w:rsidRDefault="008E0E50" w:rsidP="008E0E50">
      <w:pPr>
        <w:pStyle w:val="NormalWeb"/>
        <w:spacing w:before="240" w:beforeAutospacing="0" w:after="0" w:afterAutospacing="0" w:line="420" w:lineRule="atLeast"/>
        <w:rPr>
          <w:rFonts w:ascii="Helvetica" w:hAnsi="Helvetica" w:cs="Helvetica"/>
          <w:i/>
          <w:color w:val="0A1B32"/>
          <w:sz w:val="27"/>
          <w:szCs w:val="27"/>
          <w:lang w:val="en-US"/>
        </w:rPr>
      </w:pPr>
      <w:r w:rsidRPr="00B21CC0">
        <w:rPr>
          <w:b/>
          <w:bCs/>
          <w:i/>
          <w:color w:val="0A1B32"/>
          <w:sz w:val="27"/>
          <w:szCs w:val="27"/>
          <w:lang w:val="en-US"/>
        </w:rPr>
        <w:t>Key points to remember:</w:t>
      </w:r>
    </w:p>
    <w:p w:rsidR="008E0E50" w:rsidRPr="00B21CC0" w:rsidRDefault="008E0E50" w:rsidP="008E0E50">
      <w:pPr>
        <w:numPr>
          <w:ilvl w:val="0"/>
          <w:numId w:val="18"/>
        </w:numPr>
        <w:spacing w:before="100" w:beforeAutospacing="1" w:after="390" w:line="420" w:lineRule="atLeast"/>
        <w:rPr>
          <w:rFonts w:ascii="Helvetica" w:eastAsia="Times New Roman" w:hAnsi="Helvetica" w:cs="Helvetica"/>
          <w:i/>
          <w:color w:val="0A1B32"/>
          <w:sz w:val="27"/>
          <w:szCs w:val="27"/>
          <w:lang w:val="en-US" w:eastAsia="pl-PL"/>
        </w:rPr>
      </w:pPr>
      <w:r w:rsidRPr="00B21CC0">
        <w:rPr>
          <w:rFonts w:ascii="Helvetica" w:eastAsia="Times New Roman" w:hAnsi="Helvetica" w:cs="Helvetica"/>
          <w:i/>
          <w:color w:val="0A1B32"/>
          <w:sz w:val="27"/>
          <w:szCs w:val="27"/>
          <w:lang w:val="en-US" w:eastAsia="pl-PL"/>
        </w:rPr>
        <w:t>Figuring out exactly how volatile a stock will be at any given time is difficult, but looking at implied volatility can give you a sense of what assumptions market makers are using to determine their quoted bid and ask prices. As such, implied volatility can be a helpful proxy in gauging the market.</w:t>
      </w:r>
    </w:p>
    <w:p w:rsidR="008E0E50" w:rsidRPr="00B21CC0" w:rsidRDefault="008E0E50" w:rsidP="008E0E50">
      <w:pPr>
        <w:numPr>
          <w:ilvl w:val="0"/>
          <w:numId w:val="18"/>
        </w:numPr>
        <w:spacing w:before="100" w:beforeAutospacing="1" w:after="390" w:line="420" w:lineRule="atLeast"/>
        <w:rPr>
          <w:rFonts w:ascii="Helvetica" w:eastAsia="Times New Roman" w:hAnsi="Helvetica" w:cs="Helvetica"/>
          <w:i/>
          <w:color w:val="0A1B32"/>
          <w:sz w:val="27"/>
          <w:szCs w:val="27"/>
          <w:lang w:val="en-US" w:eastAsia="pl-PL"/>
        </w:rPr>
      </w:pPr>
      <w:r w:rsidRPr="00B21CC0">
        <w:rPr>
          <w:rFonts w:ascii="Helvetica" w:eastAsia="Times New Roman" w:hAnsi="Helvetica" w:cs="Helvetica"/>
          <w:i/>
          <w:color w:val="0A1B32"/>
          <w:sz w:val="27"/>
          <w:szCs w:val="27"/>
          <w:lang w:val="en-US" w:eastAsia="pl-PL"/>
        </w:rPr>
        <w:t>Higher-than-normal implied volatilities are usually more favorable for options sellers, while lower-than-normal implied volatilities are more favorable for option buyers, because volatility often reverts back to its mean over time.</w:t>
      </w:r>
    </w:p>
    <w:p w:rsidR="008E0E50" w:rsidRPr="00B21CC0" w:rsidRDefault="008E0E50" w:rsidP="008E0E50">
      <w:pPr>
        <w:numPr>
          <w:ilvl w:val="0"/>
          <w:numId w:val="18"/>
        </w:numPr>
        <w:spacing w:before="100" w:beforeAutospacing="1" w:after="390" w:line="420" w:lineRule="atLeast"/>
        <w:rPr>
          <w:rFonts w:ascii="Helvetica" w:eastAsia="Times New Roman" w:hAnsi="Helvetica" w:cs="Helvetica"/>
          <w:i/>
          <w:color w:val="0A1B32"/>
          <w:sz w:val="27"/>
          <w:szCs w:val="27"/>
          <w:lang w:val="en-US" w:eastAsia="pl-PL"/>
        </w:rPr>
      </w:pPr>
      <w:r w:rsidRPr="00B21CC0">
        <w:rPr>
          <w:rFonts w:ascii="Helvetica" w:eastAsia="Times New Roman" w:hAnsi="Helvetica" w:cs="Helvetica"/>
          <w:i/>
          <w:color w:val="0A1B32"/>
          <w:sz w:val="27"/>
          <w:szCs w:val="27"/>
          <w:lang w:val="en-US" w:eastAsia="pl-PL"/>
        </w:rPr>
        <w:t>Implied volatility is often provided on options trading platforms because it is typically more useful for traders to know how volatile a market maker thinks a stock will be than to try to estimate it themselves.</w:t>
      </w:r>
    </w:p>
    <w:p w:rsidR="008E0E50" w:rsidRPr="00B21CC0" w:rsidRDefault="008E0E50" w:rsidP="008E0E50">
      <w:pPr>
        <w:numPr>
          <w:ilvl w:val="0"/>
          <w:numId w:val="18"/>
        </w:numPr>
        <w:spacing w:before="100" w:beforeAutospacing="1" w:after="390" w:line="420" w:lineRule="atLeast"/>
        <w:rPr>
          <w:rFonts w:ascii="Helvetica" w:eastAsia="Times New Roman" w:hAnsi="Helvetica" w:cs="Helvetica"/>
          <w:i/>
          <w:color w:val="0A1B32"/>
          <w:sz w:val="27"/>
          <w:szCs w:val="27"/>
          <w:lang w:val="en-US" w:eastAsia="pl-PL"/>
        </w:rPr>
      </w:pPr>
      <w:r w:rsidRPr="00B21CC0">
        <w:rPr>
          <w:rFonts w:ascii="Helvetica" w:eastAsia="Times New Roman" w:hAnsi="Helvetica" w:cs="Helvetica"/>
          <w:i/>
          <w:color w:val="0A1B32"/>
          <w:sz w:val="27"/>
          <w:szCs w:val="27"/>
          <w:lang w:val="en-US" w:eastAsia="pl-PL"/>
        </w:rPr>
        <w:t>Implied volatility is usually not consistent for all options of a particular security or index and will generally be lowest for at-the-money and near-the-money options.</w:t>
      </w:r>
    </w:p>
    <w:p w:rsidR="00B21CC0" w:rsidRDefault="008E0E50" w:rsidP="00B21CC0">
      <w:pPr>
        <w:pStyle w:val="NormalWeb"/>
        <w:spacing w:before="240" w:beforeAutospacing="0" w:after="0" w:afterAutospacing="0" w:line="420" w:lineRule="atLeast"/>
        <w:rPr>
          <w:rFonts w:ascii="Helvetica" w:hAnsi="Helvetica" w:cs="Helvetica"/>
          <w:i/>
          <w:color w:val="0A1B32"/>
          <w:sz w:val="27"/>
          <w:szCs w:val="27"/>
          <w:lang w:val="en-US"/>
        </w:rPr>
      </w:pPr>
      <w:proofErr w:type="spellStart"/>
      <w:r w:rsidRPr="00B21CC0">
        <w:rPr>
          <w:rFonts w:ascii="Helvetica" w:hAnsi="Helvetica" w:cs="Helvetica"/>
          <w:i/>
          <w:color w:val="0A1B32"/>
          <w:sz w:val="27"/>
          <w:szCs w:val="27"/>
          <w:lang w:val="en-US"/>
        </w:rPr>
        <w:lastRenderedPageBreak/>
        <w:t>StreetSmart</w:t>
      </w:r>
      <w:proofErr w:type="spellEnd"/>
      <w:r w:rsidRPr="00B21CC0">
        <w:rPr>
          <w:rFonts w:ascii="Helvetica" w:hAnsi="Helvetica" w:cs="Helvetica"/>
          <w:i/>
          <w:color w:val="0A1B32"/>
          <w:sz w:val="27"/>
          <w:szCs w:val="27"/>
          <w:lang w:val="en-US"/>
        </w:rPr>
        <w:t xml:space="preserve"> Edge® has charting studies for historical volatility and implied volatility. By comparing the underlying stock’s implied volatility to the historical volatility, you can sometimes get a good sense of whether an option is priced higher or lower than normal.</w:t>
      </w:r>
    </w:p>
    <w:p w:rsidR="008E0E50" w:rsidRPr="00B21CC0" w:rsidRDefault="008E0E50" w:rsidP="00B21CC0">
      <w:pPr>
        <w:pStyle w:val="NormalWeb"/>
        <w:spacing w:before="240" w:beforeAutospacing="0" w:after="0" w:afterAutospacing="0" w:line="420" w:lineRule="atLeast"/>
        <w:rPr>
          <w:rFonts w:ascii="Helvetica" w:hAnsi="Helvetica" w:cs="Helvetica"/>
          <w:i/>
          <w:color w:val="0A1B32"/>
          <w:sz w:val="27"/>
          <w:szCs w:val="27"/>
          <w:lang w:val="en-US"/>
        </w:rPr>
      </w:pPr>
      <w:r w:rsidRPr="00B21CC0">
        <w:rPr>
          <w:rFonts w:ascii="Helvetica" w:hAnsi="Helvetica" w:cs="Helvetica"/>
          <w:i/>
          <w:color w:val="0A1B32"/>
          <w:sz w:val="27"/>
          <w:szCs w:val="27"/>
          <w:lang w:val="en-US"/>
        </w:rPr>
        <w:t>Putting Greeks to work</w:t>
      </w:r>
    </w:p>
    <w:p w:rsidR="001067E5" w:rsidRDefault="008E0E50" w:rsidP="001067E5">
      <w:pPr>
        <w:pStyle w:val="NormalWeb"/>
        <w:spacing w:before="240" w:beforeAutospacing="0" w:after="0" w:afterAutospacing="0" w:line="420" w:lineRule="atLeast"/>
        <w:rPr>
          <w:rFonts w:ascii="Helvetica" w:hAnsi="Helvetica" w:cs="Helvetica"/>
          <w:i/>
          <w:color w:val="0A1B32"/>
          <w:sz w:val="27"/>
          <w:szCs w:val="27"/>
          <w:lang w:val="en-US"/>
        </w:rPr>
      </w:pPr>
      <w:proofErr w:type="spellStart"/>
      <w:r w:rsidRPr="00B21CC0">
        <w:rPr>
          <w:rFonts w:ascii="Helvetica" w:hAnsi="Helvetica" w:cs="Helvetica"/>
          <w:i/>
          <w:color w:val="0A1B32"/>
          <w:sz w:val="27"/>
          <w:szCs w:val="27"/>
          <w:lang w:val="en-US"/>
        </w:rPr>
        <w:t>StreetSmart</w:t>
      </w:r>
      <w:proofErr w:type="spellEnd"/>
      <w:r w:rsidRPr="00B21CC0">
        <w:rPr>
          <w:rFonts w:ascii="Helvetica" w:hAnsi="Helvetica" w:cs="Helvetica"/>
          <w:i/>
          <w:color w:val="0A1B32"/>
          <w:sz w:val="27"/>
          <w:szCs w:val="27"/>
          <w:lang w:val="en-US"/>
        </w:rPr>
        <w:t xml:space="preserve"> Edge allows you to view streaming Greeks in the options chain of the trading window and in your watch lists. Here is what it looks like.</w:t>
      </w:r>
    </w:p>
    <w:p w:rsidR="008E0E50" w:rsidRPr="001067E5" w:rsidRDefault="008E0E50" w:rsidP="001067E5">
      <w:pPr>
        <w:pStyle w:val="NormalWeb"/>
        <w:spacing w:before="240" w:beforeAutospacing="0" w:after="0" w:afterAutospacing="0" w:line="420" w:lineRule="atLeast"/>
        <w:rPr>
          <w:rFonts w:ascii="Helvetica" w:hAnsi="Helvetica" w:cs="Helvetica"/>
          <w:i/>
          <w:color w:val="0A1B32"/>
          <w:sz w:val="27"/>
          <w:szCs w:val="27"/>
          <w:lang w:val="en-US"/>
        </w:rPr>
      </w:pPr>
      <w:r w:rsidRPr="00B21CC0">
        <w:rPr>
          <w:rFonts w:ascii="Helvetica" w:hAnsi="Helvetica" w:cs="Helvetica"/>
          <w:b/>
          <w:bCs/>
          <w:i/>
          <w:color w:val="0A1B32"/>
          <w:lang w:val="en-US"/>
        </w:rPr>
        <w:t>Streaming Greeks in the trading window</w:t>
      </w:r>
    </w:p>
    <w:p w:rsidR="008E0E50" w:rsidRPr="00B21CC0" w:rsidRDefault="008E0E50" w:rsidP="008E0E50">
      <w:pPr>
        <w:spacing w:line="420" w:lineRule="atLeast"/>
        <w:rPr>
          <w:rFonts w:ascii="Helvetica" w:eastAsia="Times New Roman" w:hAnsi="Helvetica" w:cs="Helvetica"/>
          <w:i/>
          <w:color w:val="0A1B32"/>
          <w:sz w:val="27"/>
          <w:szCs w:val="27"/>
          <w:lang w:val="en-US" w:eastAsia="pl-PL"/>
        </w:rPr>
      </w:pPr>
      <w:r w:rsidRPr="00B21CC0">
        <w:rPr>
          <w:rFonts w:ascii="Helvetica" w:eastAsia="Times New Roman" w:hAnsi="Helvetica" w:cs="Helvetica"/>
          <w:i/>
          <w:color w:val="0A1B32"/>
          <w:sz w:val="27"/>
          <w:szCs w:val="27"/>
          <w:lang w:val="en-US" w:eastAsia="pl-PL"/>
        </w:rPr>
        <w:drawing>
          <wp:inline distT="0" distB="0" distL="0" distR="0">
            <wp:extent cx="5143500" cy="3152231"/>
            <wp:effectExtent l="0" t="0" r="0" b="0"/>
            <wp:docPr id="38" name="Picture 38" descr="https://www.schwab.com/learn/sites/g/files/eyrktu1246/files/Options%20Greeks%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n-image--5398" descr="https://www.schwab.com/learn/sites/g/files/eyrktu1246/files/Options%20Greeks%2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591" cy="3155964"/>
                    </a:xfrm>
                    <a:prstGeom prst="rect">
                      <a:avLst/>
                    </a:prstGeom>
                    <a:noFill/>
                    <a:ln>
                      <a:noFill/>
                    </a:ln>
                  </pic:spPr>
                </pic:pic>
              </a:graphicData>
            </a:graphic>
          </wp:inline>
        </w:drawing>
      </w:r>
    </w:p>
    <w:p w:rsidR="008E0E50" w:rsidRPr="00B21CC0" w:rsidRDefault="008E0E50" w:rsidP="008E0E50">
      <w:pPr>
        <w:pStyle w:val="attribution"/>
        <w:spacing w:after="240" w:afterAutospacing="0" w:line="285" w:lineRule="atLeast"/>
        <w:rPr>
          <w:rFonts w:ascii="Helvetica" w:hAnsi="Helvetica" w:cs="Helvetica"/>
          <w:i/>
          <w:color w:val="0A1B32"/>
          <w:sz w:val="27"/>
          <w:szCs w:val="27"/>
          <w:lang w:val="en-US"/>
        </w:rPr>
      </w:pPr>
      <w:r w:rsidRPr="00B21CC0">
        <w:rPr>
          <w:rFonts w:ascii="Helvetica" w:hAnsi="Helvetica" w:cs="Helvetica"/>
          <w:i/>
          <w:color w:val="0A1B32"/>
          <w:sz w:val="27"/>
          <w:szCs w:val="27"/>
          <w:lang w:val="en-US"/>
        </w:rPr>
        <w:t xml:space="preserve">Source: </w:t>
      </w:r>
      <w:proofErr w:type="spellStart"/>
      <w:r w:rsidRPr="00B21CC0">
        <w:rPr>
          <w:rFonts w:ascii="Helvetica" w:hAnsi="Helvetica" w:cs="Helvetica"/>
          <w:i/>
          <w:color w:val="0A1B32"/>
          <w:sz w:val="27"/>
          <w:szCs w:val="27"/>
          <w:lang w:val="en-US"/>
        </w:rPr>
        <w:t>StreetSmart</w:t>
      </w:r>
      <w:proofErr w:type="spellEnd"/>
      <w:r w:rsidRPr="00B21CC0">
        <w:rPr>
          <w:rFonts w:ascii="Helvetica" w:hAnsi="Helvetica" w:cs="Helvetica"/>
          <w:i/>
          <w:color w:val="0A1B32"/>
          <w:sz w:val="27"/>
          <w:szCs w:val="27"/>
          <w:lang w:val="en-US"/>
        </w:rPr>
        <w:t xml:space="preserve"> Edge</w:t>
      </w:r>
    </w:p>
    <w:p w:rsidR="008E0E50" w:rsidRPr="00B21CC0" w:rsidRDefault="008E0E50" w:rsidP="008E0E50">
      <w:pPr>
        <w:pStyle w:val="Heading3"/>
        <w:spacing w:before="840" w:beforeAutospacing="0" w:after="0" w:afterAutospacing="0" w:line="420" w:lineRule="atLeast"/>
        <w:rPr>
          <w:rFonts w:ascii="Helvetica" w:hAnsi="Helvetica" w:cs="Helvetica"/>
          <w:b w:val="0"/>
          <w:bCs w:val="0"/>
          <w:i/>
          <w:color w:val="0A1B32"/>
          <w:lang w:val="en-US"/>
        </w:rPr>
      </w:pPr>
      <w:r w:rsidRPr="00B21CC0">
        <w:rPr>
          <w:rFonts w:ascii="Helvetica" w:hAnsi="Helvetica" w:cs="Helvetica"/>
          <w:b w:val="0"/>
          <w:bCs w:val="0"/>
          <w:i/>
          <w:color w:val="0A1B32"/>
          <w:lang w:val="en-US"/>
        </w:rPr>
        <w:t>Streaming Greeks in a watch list</w:t>
      </w:r>
    </w:p>
    <w:p w:rsidR="008E0E50" w:rsidRPr="00B21CC0" w:rsidRDefault="008E0E50" w:rsidP="008E0E50">
      <w:pPr>
        <w:spacing w:line="420" w:lineRule="atLeast"/>
        <w:rPr>
          <w:rFonts w:ascii="Helvetica" w:eastAsia="Times New Roman" w:hAnsi="Helvetica" w:cs="Helvetica"/>
          <w:i/>
          <w:color w:val="0A1B32"/>
          <w:sz w:val="27"/>
          <w:szCs w:val="27"/>
          <w:lang w:val="en-US" w:eastAsia="pl-PL"/>
        </w:rPr>
      </w:pPr>
      <w:r w:rsidRPr="00B21CC0">
        <w:rPr>
          <w:rFonts w:ascii="Helvetica" w:eastAsia="Times New Roman" w:hAnsi="Helvetica" w:cs="Helvetica"/>
          <w:i/>
          <w:color w:val="0A1B32"/>
          <w:sz w:val="27"/>
          <w:szCs w:val="27"/>
          <w:lang w:val="en-US" w:eastAsia="pl-PL"/>
        </w:rPr>
        <w:drawing>
          <wp:inline distT="0" distB="0" distL="0" distR="0">
            <wp:extent cx="5286375" cy="1329146"/>
            <wp:effectExtent l="0" t="0" r="0" b="4445"/>
            <wp:docPr id="37" name="Picture 37" descr="https://www.schwab.com/learn/sites/g/files/eyrktu1246/files/Options%20Greeks%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n-image--3238" descr="https://www.schwab.com/learn/sites/g/files/eyrktu1246/files/Options%20Greeks%20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9034" cy="1342386"/>
                    </a:xfrm>
                    <a:prstGeom prst="rect">
                      <a:avLst/>
                    </a:prstGeom>
                    <a:noFill/>
                    <a:ln>
                      <a:noFill/>
                    </a:ln>
                  </pic:spPr>
                </pic:pic>
              </a:graphicData>
            </a:graphic>
          </wp:inline>
        </w:drawing>
      </w:r>
    </w:p>
    <w:p w:rsidR="008E0E50" w:rsidRPr="00B21CC0" w:rsidRDefault="008E0E50" w:rsidP="008E0E50">
      <w:pPr>
        <w:pStyle w:val="attribution"/>
        <w:spacing w:after="240" w:afterAutospacing="0" w:line="285" w:lineRule="atLeast"/>
        <w:rPr>
          <w:rFonts w:ascii="Helvetica" w:hAnsi="Helvetica" w:cs="Helvetica"/>
          <w:i/>
          <w:color w:val="0A1B32"/>
          <w:sz w:val="27"/>
          <w:szCs w:val="27"/>
          <w:lang w:val="en-US"/>
        </w:rPr>
      </w:pPr>
      <w:r w:rsidRPr="00B21CC0">
        <w:rPr>
          <w:rFonts w:ascii="Helvetica" w:hAnsi="Helvetica" w:cs="Helvetica"/>
          <w:i/>
          <w:color w:val="0A1B32"/>
          <w:sz w:val="27"/>
          <w:szCs w:val="27"/>
          <w:lang w:val="en-US"/>
        </w:rPr>
        <w:t xml:space="preserve">Source: </w:t>
      </w:r>
      <w:proofErr w:type="spellStart"/>
      <w:r w:rsidRPr="00B21CC0">
        <w:rPr>
          <w:rFonts w:ascii="Helvetica" w:hAnsi="Helvetica" w:cs="Helvetica"/>
          <w:i/>
          <w:color w:val="0A1B32"/>
          <w:sz w:val="27"/>
          <w:szCs w:val="27"/>
          <w:lang w:val="en-US"/>
        </w:rPr>
        <w:t>StreetSmart</w:t>
      </w:r>
      <w:proofErr w:type="spellEnd"/>
      <w:r w:rsidRPr="00B21CC0">
        <w:rPr>
          <w:rFonts w:ascii="Helvetica" w:hAnsi="Helvetica" w:cs="Helvetica"/>
          <w:i/>
          <w:color w:val="0A1B32"/>
          <w:sz w:val="27"/>
          <w:szCs w:val="27"/>
          <w:lang w:val="en-US"/>
        </w:rPr>
        <w:t xml:space="preserve"> Edge</w:t>
      </w:r>
    </w:p>
    <w:p w:rsidR="008E0E50" w:rsidRPr="00B21CC0" w:rsidRDefault="008E0E50" w:rsidP="001067E5">
      <w:pPr>
        <w:pStyle w:val="NormalWeb"/>
        <w:spacing w:before="240" w:beforeAutospacing="0" w:after="0" w:afterAutospacing="0" w:line="420" w:lineRule="atLeast"/>
        <w:jc w:val="both"/>
        <w:rPr>
          <w:rFonts w:ascii="Helvetica" w:hAnsi="Helvetica" w:cs="Helvetica"/>
          <w:i/>
          <w:color w:val="0A1B32"/>
          <w:sz w:val="27"/>
          <w:szCs w:val="27"/>
          <w:lang w:val="en-US"/>
        </w:rPr>
      </w:pPr>
      <w:r w:rsidRPr="00B21CC0">
        <w:rPr>
          <w:rFonts w:ascii="Helvetica" w:hAnsi="Helvetica" w:cs="Helvetica"/>
          <w:i/>
          <w:color w:val="0A1B32"/>
          <w:sz w:val="27"/>
          <w:szCs w:val="27"/>
          <w:lang w:val="en-US"/>
        </w:rPr>
        <w:lastRenderedPageBreak/>
        <w:t>You can arrange the columns to display in any order you like. And, as shown below, you can choose between three of the most widely used pricing models. In addition, the dividend yield and 90-day T-bill interest rate are already filled in. You can use these values or specify your own.</w:t>
      </w:r>
    </w:p>
    <w:p w:rsidR="008E0E50" w:rsidRDefault="008E0E50" w:rsidP="008E0E50">
      <w:pPr>
        <w:spacing w:line="420" w:lineRule="atLeast"/>
        <w:rPr>
          <w:rFonts w:ascii="Helvetica" w:hAnsi="Helvetica" w:cs="Helvetica"/>
          <w:color w:val="333333"/>
        </w:rPr>
      </w:pPr>
      <w:r>
        <w:rPr>
          <w:rFonts w:ascii="Helvetica" w:hAnsi="Helvetica" w:cs="Helvetica"/>
          <w:noProof/>
          <w:color w:val="333333"/>
          <w:lang w:eastAsia="pl-PL"/>
        </w:rPr>
        <w:drawing>
          <wp:inline distT="0" distB="0" distL="0" distR="0">
            <wp:extent cx="6210300" cy="5105400"/>
            <wp:effectExtent l="0" t="0" r="0" b="0"/>
            <wp:docPr id="36" name="Picture 36" descr="https://www.schwab.com/learn/sites/g/files/eyrktu1246/files/Options%20Greeks%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n-image--6231" descr="https://www.schwab.com/learn/sites/g/files/eyrktu1246/files/Options%20Greeks%20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0300" cy="5105400"/>
                    </a:xfrm>
                    <a:prstGeom prst="rect">
                      <a:avLst/>
                    </a:prstGeom>
                    <a:noFill/>
                    <a:ln>
                      <a:noFill/>
                    </a:ln>
                  </pic:spPr>
                </pic:pic>
              </a:graphicData>
            </a:graphic>
          </wp:inline>
        </w:drawing>
      </w:r>
    </w:p>
    <w:p w:rsidR="008E0E50" w:rsidRPr="00754929" w:rsidRDefault="008E0E50" w:rsidP="00754929">
      <w:pPr>
        <w:spacing w:after="100" w:afterAutospacing="1" w:line="240" w:lineRule="auto"/>
        <w:rPr>
          <w:rFonts w:ascii="Helvetica" w:eastAsia="Times New Roman" w:hAnsi="Helvetica" w:cs="Helvetica"/>
          <w:b/>
          <w:color w:val="0A1B32"/>
          <w:sz w:val="27"/>
          <w:szCs w:val="27"/>
          <w:lang w:val="en-US" w:eastAsia="pl-PL"/>
        </w:rPr>
      </w:pP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28. How are the main Greeks derived?</w:t>
      </w:r>
    </w:p>
    <w:p w:rsidR="001067E5" w:rsidRDefault="001067E5" w:rsidP="00754929">
      <w:pPr>
        <w:spacing w:after="100" w:afterAutospacing="1" w:line="240" w:lineRule="auto"/>
        <w:rPr>
          <w:rFonts w:ascii="Helvetica" w:eastAsia="Times New Roman" w:hAnsi="Helvetica" w:cs="Helvetica"/>
          <w:b/>
          <w:color w:val="0A1B32"/>
          <w:sz w:val="27"/>
          <w:szCs w:val="27"/>
          <w:lang w:val="en-US" w:eastAsia="pl-PL"/>
        </w:rPr>
      </w:pPr>
      <w:hyperlink r:id="rId16" w:history="1">
        <w:r w:rsidRPr="00F61129">
          <w:rPr>
            <w:rStyle w:val="Hyperlink"/>
            <w:rFonts w:ascii="Helvetica" w:eastAsia="Times New Roman" w:hAnsi="Helvetica" w:cs="Helvetica"/>
            <w:b/>
            <w:sz w:val="27"/>
            <w:szCs w:val="27"/>
            <w:lang w:val="en-US" w:eastAsia="pl-PL"/>
          </w:rPr>
          <w:t>https://www.youtube.com/watch?v=lWWW3xlBHpY</w:t>
        </w:r>
      </w:hyperlink>
    </w:p>
    <w:p w:rsidR="001067E5" w:rsidRPr="00754929" w:rsidRDefault="001067E5" w:rsidP="00754929">
      <w:pPr>
        <w:spacing w:after="100" w:afterAutospacing="1" w:line="240" w:lineRule="auto"/>
        <w:rPr>
          <w:rFonts w:ascii="Helvetica" w:eastAsia="Times New Roman" w:hAnsi="Helvetica" w:cs="Helvetica"/>
          <w:b/>
          <w:color w:val="0A1B32"/>
          <w:sz w:val="27"/>
          <w:szCs w:val="27"/>
          <w:lang w:val="en-US" w:eastAsia="pl-PL"/>
        </w:rPr>
      </w:pP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29. What do you know about jump processes?</w:t>
      </w:r>
    </w:p>
    <w:p w:rsidR="007D4FCA" w:rsidRPr="007D4FCA" w:rsidRDefault="007D4FCA" w:rsidP="007D4FCA">
      <w:pPr>
        <w:autoSpaceDE w:val="0"/>
        <w:autoSpaceDN w:val="0"/>
        <w:adjustRightInd w:val="0"/>
        <w:spacing w:after="0" w:line="240" w:lineRule="auto"/>
        <w:rPr>
          <w:rFonts w:ascii="Helvetica" w:eastAsia="Times New Roman" w:hAnsi="Helvetica" w:cs="Helvetica"/>
          <w:b/>
          <w:i/>
          <w:color w:val="0A1B32"/>
          <w:sz w:val="27"/>
          <w:szCs w:val="27"/>
          <w:lang w:val="en-US" w:eastAsia="pl-PL"/>
        </w:rPr>
      </w:pPr>
      <w:r w:rsidRPr="007D4FCA">
        <w:rPr>
          <w:rFonts w:ascii="Helvetica" w:eastAsia="Times New Roman" w:hAnsi="Helvetica" w:cs="Helvetica"/>
          <w:b/>
          <w:i/>
          <w:color w:val="0A1B32"/>
          <w:sz w:val="27"/>
          <w:szCs w:val="27"/>
          <w:lang w:val="en-US" w:eastAsia="pl-PL"/>
        </w:rPr>
        <w:t>Short Answer</w:t>
      </w:r>
    </w:p>
    <w:p w:rsidR="007D4FCA" w:rsidRPr="007D4FCA" w:rsidRDefault="007D4FCA" w:rsidP="007D4FCA">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lastRenderedPageBreak/>
        <w:t xml:space="preserve">Jump-diffusion models </w:t>
      </w:r>
      <w:r>
        <w:rPr>
          <w:rFonts w:ascii="Helvetica" w:eastAsia="Times New Roman" w:hAnsi="Helvetica" w:cs="Helvetica"/>
          <w:i/>
          <w:color w:val="0A1B32"/>
          <w:sz w:val="27"/>
          <w:szCs w:val="27"/>
          <w:lang w:val="en-US" w:eastAsia="pl-PL"/>
        </w:rPr>
        <w:t xml:space="preserve">combine the continuous Brownian </w:t>
      </w:r>
      <w:r w:rsidRPr="007D4FCA">
        <w:rPr>
          <w:rFonts w:ascii="Helvetica" w:eastAsia="Times New Roman" w:hAnsi="Helvetica" w:cs="Helvetica"/>
          <w:i/>
          <w:color w:val="0A1B32"/>
          <w:sz w:val="27"/>
          <w:szCs w:val="27"/>
          <w:lang w:val="en-US" w:eastAsia="pl-PL"/>
        </w:rPr>
        <w:t>motion seen in Black–Scholes models (the diffusion)</w:t>
      </w:r>
      <w:r>
        <w:rPr>
          <w:rFonts w:ascii="Helvetica" w:eastAsia="Times New Roman" w:hAnsi="Helvetica" w:cs="Helvetica"/>
          <w:i/>
          <w:color w:val="0A1B32"/>
          <w:sz w:val="27"/>
          <w:szCs w:val="27"/>
          <w:lang w:val="en-US" w:eastAsia="pl-PL"/>
        </w:rPr>
        <w:t xml:space="preserve"> </w:t>
      </w:r>
      <w:r w:rsidRPr="007D4FCA">
        <w:rPr>
          <w:rFonts w:ascii="Helvetica" w:eastAsia="Times New Roman" w:hAnsi="Helvetica" w:cs="Helvetica"/>
          <w:i/>
          <w:color w:val="0A1B32"/>
          <w:sz w:val="27"/>
          <w:szCs w:val="27"/>
          <w:lang w:val="en-US" w:eastAsia="pl-PL"/>
        </w:rPr>
        <w:t>with prices that are allowed to jump discontinuously.</w:t>
      </w:r>
    </w:p>
    <w:p w:rsidR="007D4FCA" w:rsidRPr="007D4FCA" w:rsidRDefault="007D4FCA" w:rsidP="007D4FCA">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The timing of the jump</w:t>
      </w:r>
      <w:r>
        <w:rPr>
          <w:rFonts w:ascii="Helvetica" w:eastAsia="Times New Roman" w:hAnsi="Helvetica" w:cs="Helvetica"/>
          <w:i/>
          <w:color w:val="0A1B32"/>
          <w:sz w:val="27"/>
          <w:szCs w:val="27"/>
          <w:lang w:val="en-US" w:eastAsia="pl-PL"/>
        </w:rPr>
        <w:t xml:space="preserve"> is usually random, and this is </w:t>
      </w:r>
      <w:r w:rsidRPr="007D4FCA">
        <w:rPr>
          <w:rFonts w:ascii="Helvetica" w:eastAsia="Times New Roman" w:hAnsi="Helvetica" w:cs="Helvetica"/>
          <w:i/>
          <w:color w:val="0A1B32"/>
          <w:sz w:val="27"/>
          <w:szCs w:val="27"/>
          <w:lang w:val="en-US" w:eastAsia="pl-PL"/>
        </w:rPr>
        <w:t>represented by a Poisson process. The size</w:t>
      </w:r>
      <w:r>
        <w:rPr>
          <w:rFonts w:ascii="Helvetica" w:eastAsia="Times New Roman" w:hAnsi="Helvetica" w:cs="Helvetica"/>
          <w:i/>
          <w:color w:val="0A1B32"/>
          <w:sz w:val="27"/>
          <w:szCs w:val="27"/>
          <w:lang w:val="en-US" w:eastAsia="pl-PL"/>
        </w:rPr>
        <w:t xml:space="preserve"> of the jump </w:t>
      </w:r>
      <w:r w:rsidRPr="007D4FCA">
        <w:rPr>
          <w:rFonts w:ascii="Helvetica" w:eastAsia="Times New Roman" w:hAnsi="Helvetica" w:cs="Helvetica"/>
          <w:i/>
          <w:color w:val="0A1B32"/>
          <w:sz w:val="27"/>
          <w:szCs w:val="27"/>
          <w:lang w:val="en-US" w:eastAsia="pl-PL"/>
        </w:rPr>
        <w:t>can also be random. A</w:t>
      </w:r>
      <w:r>
        <w:rPr>
          <w:rFonts w:ascii="Helvetica" w:eastAsia="Times New Roman" w:hAnsi="Helvetica" w:cs="Helvetica"/>
          <w:i/>
          <w:color w:val="0A1B32"/>
          <w:sz w:val="27"/>
          <w:szCs w:val="27"/>
          <w:lang w:val="en-US" w:eastAsia="pl-PL"/>
        </w:rPr>
        <w:t xml:space="preserve">s you increase the frequency of </w:t>
      </w:r>
      <w:r w:rsidRPr="007D4FCA">
        <w:rPr>
          <w:rFonts w:ascii="Helvetica" w:eastAsia="Times New Roman" w:hAnsi="Helvetica" w:cs="Helvetica"/>
          <w:i/>
          <w:color w:val="0A1B32"/>
          <w:sz w:val="27"/>
          <w:szCs w:val="27"/>
          <w:lang w:val="en-US" w:eastAsia="pl-PL"/>
        </w:rPr>
        <w:t xml:space="preserve">the jumps (all other </w:t>
      </w:r>
      <w:r>
        <w:rPr>
          <w:rFonts w:ascii="Helvetica" w:eastAsia="Times New Roman" w:hAnsi="Helvetica" w:cs="Helvetica"/>
          <w:i/>
          <w:color w:val="0A1B32"/>
          <w:sz w:val="27"/>
          <w:szCs w:val="27"/>
          <w:lang w:val="en-US" w:eastAsia="pl-PL"/>
        </w:rPr>
        <w:t xml:space="preserve">parameters remaining the same), </w:t>
      </w:r>
      <w:r w:rsidRPr="007D4FCA">
        <w:rPr>
          <w:rFonts w:ascii="Helvetica" w:eastAsia="Times New Roman" w:hAnsi="Helvetica" w:cs="Helvetica"/>
          <w:i/>
          <w:color w:val="0A1B32"/>
          <w:sz w:val="27"/>
          <w:szCs w:val="27"/>
          <w:lang w:val="en-US" w:eastAsia="pl-PL"/>
        </w:rPr>
        <w:t>the values of calls a</w:t>
      </w:r>
      <w:r>
        <w:rPr>
          <w:rFonts w:ascii="Helvetica" w:eastAsia="Times New Roman" w:hAnsi="Helvetica" w:cs="Helvetica"/>
          <w:i/>
          <w:color w:val="0A1B32"/>
          <w:sz w:val="27"/>
          <w:szCs w:val="27"/>
          <w:lang w:val="en-US" w:eastAsia="pl-PL"/>
        </w:rPr>
        <w:t xml:space="preserve">nd puts increase. The prices of </w:t>
      </w:r>
      <w:r w:rsidRPr="007D4FCA">
        <w:rPr>
          <w:rFonts w:ascii="Helvetica" w:eastAsia="Times New Roman" w:hAnsi="Helvetica" w:cs="Helvetica"/>
          <w:i/>
          <w:color w:val="0A1B32"/>
          <w:sz w:val="27"/>
          <w:szCs w:val="27"/>
          <w:lang w:val="en-US" w:eastAsia="pl-PL"/>
        </w:rPr>
        <w:t>binaries, and other options, can go either up or down.</w:t>
      </w:r>
    </w:p>
    <w:p w:rsidR="007D4FCA" w:rsidRPr="007D4FCA" w:rsidRDefault="007D4FCA" w:rsidP="007D4FCA">
      <w:pPr>
        <w:autoSpaceDE w:val="0"/>
        <w:autoSpaceDN w:val="0"/>
        <w:adjustRightInd w:val="0"/>
        <w:spacing w:after="0" w:line="240" w:lineRule="auto"/>
        <w:rPr>
          <w:rFonts w:ascii="Helvetica" w:eastAsia="Times New Roman" w:hAnsi="Helvetica" w:cs="Helvetica"/>
          <w:b/>
          <w:i/>
          <w:color w:val="0A1B32"/>
          <w:sz w:val="27"/>
          <w:szCs w:val="27"/>
          <w:lang w:val="en-US" w:eastAsia="pl-PL"/>
        </w:rPr>
      </w:pPr>
      <w:r w:rsidRPr="007D4FCA">
        <w:rPr>
          <w:rFonts w:ascii="Helvetica" w:eastAsia="Times New Roman" w:hAnsi="Helvetica" w:cs="Helvetica"/>
          <w:b/>
          <w:i/>
          <w:color w:val="0A1B32"/>
          <w:sz w:val="27"/>
          <w:szCs w:val="27"/>
          <w:lang w:val="en-US" w:eastAsia="pl-PL"/>
        </w:rPr>
        <w:t>Example</w:t>
      </w:r>
    </w:p>
    <w:p w:rsidR="007D4FCA" w:rsidRPr="007D4FCA" w:rsidRDefault="007D4FCA" w:rsidP="007D4FCA">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A stock follows a log</w:t>
      </w:r>
      <w:r>
        <w:rPr>
          <w:rFonts w:ascii="Helvetica" w:eastAsia="Times New Roman" w:hAnsi="Helvetica" w:cs="Helvetica"/>
          <w:i/>
          <w:color w:val="0A1B32"/>
          <w:sz w:val="27"/>
          <w:szCs w:val="27"/>
          <w:lang w:val="en-US" w:eastAsia="pl-PL"/>
        </w:rPr>
        <w:t xml:space="preserve">normal random walk. Every month </w:t>
      </w:r>
      <w:r w:rsidRPr="007D4FCA">
        <w:rPr>
          <w:rFonts w:ascii="Helvetica" w:eastAsia="Times New Roman" w:hAnsi="Helvetica" w:cs="Helvetica"/>
          <w:i/>
          <w:color w:val="0A1B32"/>
          <w:sz w:val="27"/>
          <w:szCs w:val="27"/>
          <w:lang w:val="en-US" w:eastAsia="pl-PL"/>
        </w:rPr>
        <w:t xml:space="preserve">you roll a dice. If you </w:t>
      </w:r>
      <w:r>
        <w:rPr>
          <w:rFonts w:ascii="Helvetica" w:eastAsia="Times New Roman" w:hAnsi="Helvetica" w:cs="Helvetica"/>
          <w:i/>
          <w:color w:val="0A1B32"/>
          <w:sz w:val="27"/>
          <w:szCs w:val="27"/>
          <w:lang w:val="en-US" w:eastAsia="pl-PL"/>
        </w:rPr>
        <w:t xml:space="preserve">roll a one then the stock price </w:t>
      </w:r>
      <w:r w:rsidRPr="007D4FCA">
        <w:rPr>
          <w:rFonts w:ascii="Helvetica" w:eastAsia="Times New Roman" w:hAnsi="Helvetica" w:cs="Helvetica"/>
          <w:i/>
          <w:color w:val="0A1B32"/>
          <w:sz w:val="27"/>
          <w:szCs w:val="27"/>
          <w:lang w:val="en-US" w:eastAsia="pl-PL"/>
        </w:rPr>
        <w:t>jumps discontinuously. T</w:t>
      </w:r>
      <w:r>
        <w:rPr>
          <w:rFonts w:ascii="Helvetica" w:eastAsia="Times New Roman" w:hAnsi="Helvetica" w:cs="Helvetica"/>
          <w:i/>
          <w:color w:val="0A1B32"/>
          <w:sz w:val="27"/>
          <w:szCs w:val="27"/>
          <w:lang w:val="en-US" w:eastAsia="pl-PL"/>
        </w:rPr>
        <w:t xml:space="preserve">he size of this jump is decided </w:t>
      </w:r>
      <w:r w:rsidRPr="007D4FCA">
        <w:rPr>
          <w:rFonts w:ascii="Helvetica" w:eastAsia="Times New Roman" w:hAnsi="Helvetica" w:cs="Helvetica"/>
          <w:i/>
          <w:color w:val="0A1B32"/>
          <w:sz w:val="27"/>
          <w:szCs w:val="27"/>
          <w:lang w:val="en-US" w:eastAsia="pl-PL"/>
        </w:rPr>
        <w:t>by a random numbe</w:t>
      </w:r>
      <w:r>
        <w:rPr>
          <w:rFonts w:ascii="Helvetica" w:eastAsia="Times New Roman" w:hAnsi="Helvetica" w:cs="Helvetica"/>
          <w:i/>
          <w:color w:val="0A1B32"/>
          <w:sz w:val="27"/>
          <w:szCs w:val="27"/>
          <w:lang w:val="en-US" w:eastAsia="pl-PL"/>
        </w:rPr>
        <w:t xml:space="preserve">r you draw from a hat. (This is </w:t>
      </w:r>
      <w:r w:rsidRPr="007D4FCA">
        <w:rPr>
          <w:rFonts w:ascii="Helvetica" w:eastAsia="Times New Roman" w:hAnsi="Helvetica" w:cs="Helvetica"/>
          <w:i/>
          <w:color w:val="0A1B32"/>
          <w:sz w:val="27"/>
          <w:szCs w:val="27"/>
          <w:lang w:val="en-US" w:eastAsia="pl-PL"/>
        </w:rPr>
        <w:t>not a great example b</w:t>
      </w:r>
      <w:r>
        <w:rPr>
          <w:rFonts w:ascii="Helvetica" w:eastAsia="Times New Roman" w:hAnsi="Helvetica" w:cs="Helvetica"/>
          <w:i/>
          <w:color w:val="0A1B32"/>
          <w:sz w:val="27"/>
          <w:szCs w:val="27"/>
          <w:lang w:val="en-US" w:eastAsia="pl-PL"/>
        </w:rPr>
        <w:t xml:space="preserve">ecause the Poisson process is a </w:t>
      </w:r>
      <w:r w:rsidRPr="007D4FCA">
        <w:rPr>
          <w:rFonts w:ascii="Helvetica" w:eastAsia="Times New Roman" w:hAnsi="Helvetica" w:cs="Helvetica"/>
          <w:i/>
          <w:color w:val="0A1B32"/>
          <w:sz w:val="27"/>
          <w:szCs w:val="27"/>
          <w:lang w:val="en-US" w:eastAsia="pl-PL"/>
        </w:rPr>
        <w:t>continuous process, not a monthly event.)</w:t>
      </w:r>
    </w:p>
    <w:p w:rsidR="007D4FCA" w:rsidRPr="007D4FCA" w:rsidRDefault="007D4FCA" w:rsidP="007D4FCA">
      <w:pPr>
        <w:autoSpaceDE w:val="0"/>
        <w:autoSpaceDN w:val="0"/>
        <w:adjustRightInd w:val="0"/>
        <w:spacing w:after="0" w:line="240" w:lineRule="auto"/>
        <w:rPr>
          <w:rFonts w:ascii="Helvetica" w:eastAsia="Times New Roman" w:hAnsi="Helvetica" w:cs="Helvetica"/>
          <w:b/>
          <w:i/>
          <w:color w:val="0A1B32"/>
          <w:sz w:val="27"/>
          <w:szCs w:val="27"/>
          <w:lang w:val="en-US" w:eastAsia="pl-PL"/>
        </w:rPr>
      </w:pPr>
      <w:r w:rsidRPr="007D4FCA">
        <w:rPr>
          <w:rFonts w:ascii="Helvetica" w:eastAsia="Times New Roman" w:hAnsi="Helvetica" w:cs="Helvetica"/>
          <w:b/>
          <w:i/>
          <w:color w:val="0A1B32"/>
          <w:sz w:val="27"/>
          <w:szCs w:val="27"/>
          <w:lang w:val="en-US" w:eastAsia="pl-PL"/>
        </w:rPr>
        <w:t>Long Answer</w:t>
      </w:r>
    </w:p>
    <w:p w:rsidR="007D4FCA" w:rsidRPr="007D4FCA" w:rsidRDefault="007D4FCA" w:rsidP="007D4FCA">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 xml:space="preserve">A Poisson process can be written as </w:t>
      </w:r>
      <w:proofErr w:type="spellStart"/>
      <w:r w:rsidRPr="007D4FCA">
        <w:rPr>
          <w:rFonts w:ascii="Helvetica" w:eastAsia="Times New Roman" w:hAnsi="Helvetica" w:cs="Helvetica"/>
          <w:i/>
          <w:color w:val="0A1B32"/>
          <w:sz w:val="27"/>
          <w:szCs w:val="27"/>
          <w:lang w:val="en-US" w:eastAsia="pl-PL"/>
        </w:rPr>
        <w:t>dq</w:t>
      </w:r>
      <w:proofErr w:type="spellEnd"/>
      <w:r w:rsidRPr="007D4FCA">
        <w:rPr>
          <w:rFonts w:ascii="Helvetica" w:eastAsia="Times New Roman" w:hAnsi="Helvetica" w:cs="Helvetica"/>
          <w:i/>
          <w:color w:val="0A1B32"/>
          <w:sz w:val="27"/>
          <w:szCs w:val="27"/>
          <w:lang w:val="en-US" w:eastAsia="pl-PL"/>
        </w:rPr>
        <w:t xml:space="preserve"> where </w:t>
      </w:r>
      <w:proofErr w:type="spellStart"/>
      <w:r w:rsidRPr="007D4FCA">
        <w:rPr>
          <w:rFonts w:ascii="Helvetica" w:eastAsia="Times New Roman" w:hAnsi="Helvetica" w:cs="Helvetica"/>
          <w:i/>
          <w:color w:val="0A1B32"/>
          <w:sz w:val="27"/>
          <w:szCs w:val="27"/>
          <w:lang w:val="en-US" w:eastAsia="pl-PL"/>
        </w:rPr>
        <w:t>dq</w:t>
      </w:r>
      <w:proofErr w:type="spellEnd"/>
      <w:r w:rsidRPr="007D4FCA">
        <w:rPr>
          <w:rFonts w:ascii="Helvetica" w:eastAsia="Times New Roman" w:hAnsi="Helvetica" w:cs="Helvetica"/>
          <w:i/>
          <w:color w:val="0A1B32"/>
          <w:sz w:val="27"/>
          <w:szCs w:val="27"/>
          <w:lang w:val="en-US" w:eastAsia="pl-PL"/>
        </w:rPr>
        <w:t xml:space="preserve"> </w:t>
      </w:r>
      <w:r>
        <w:rPr>
          <w:rFonts w:ascii="Helvetica" w:eastAsia="Times New Roman" w:hAnsi="Helvetica" w:cs="Helvetica"/>
          <w:i/>
          <w:color w:val="0A1B32"/>
          <w:sz w:val="27"/>
          <w:szCs w:val="27"/>
          <w:lang w:val="en-US" w:eastAsia="pl-PL"/>
        </w:rPr>
        <w:t xml:space="preserve">is the </w:t>
      </w:r>
      <w:r w:rsidRPr="007D4FCA">
        <w:rPr>
          <w:rFonts w:ascii="Helvetica" w:eastAsia="Times New Roman" w:hAnsi="Helvetica" w:cs="Helvetica"/>
          <w:i/>
          <w:color w:val="0A1B32"/>
          <w:sz w:val="27"/>
          <w:szCs w:val="27"/>
          <w:lang w:val="en-US" w:eastAsia="pl-PL"/>
        </w:rPr>
        <w:t xml:space="preserve">jump in a random variable q during time t to t + </w:t>
      </w:r>
      <w:proofErr w:type="spellStart"/>
      <w:r w:rsidRPr="007D4FCA">
        <w:rPr>
          <w:rFonts w:ascii="Helvetica" w:eastAsia="Times New Roman" w:hAnsi="Helvetica" w:cs="Helvetica"/>
          <w:i/>
          <w:color w:val="0A1B32"/>
          <w:sz w:val="27"/>
          <w:szCs w:val="27"/>
          <w:lang w:val="en-US" w:eastAsia="pl-PL"/>
        </w:rPr>
        <w:t>dt.</w:t>
      </w:r>
      <w:proofErr w:type="spellEnd"/>
      <w:r w:rsidRPr="007D4FCA">
        <w:rPr>
          <w:rFonts w:ascii="Helvetica" w:eastAsia="Times New Roman" w:hAnsi="Helvetica" w:cs="Helvetica"/>
          <w:i/>
          <w:color w:val="0A1B32"/>
          <w:sz w:val="27"/>
          <w:szCs w:val="27"/>
          <w:lang w:val="en-US" w:eastAsia="pl-PL"/>
        </w:rPr>
        <w:t xml:space="preserve"> </w:t>
      </w:r>
      <w:proofErr w:type="spellStart"/>
      <w:r>
        <w:rPr>
          <w:rFonts w:ascii="Helvetica" w:eastAsia="Times New Roman" w:hAnsi="Helvetica" w:cs="Helvetica"/>
          <w:i/>
          <w:color w:val="0A1B32"/>
          <w:sz w:val="27"/>
          <w:szCs w:val="27"/>
          <w:lang w:val="en-US" w:eastAsia="pl-PL"/>
        </w:rPr>
        <w:t>Dq</w:t>
      </w:r>
      <w:proofErr w:type="spellEnd"/>
      <w:r>
        <w:rPr>
          <w:rFonts w:ascii="Helvetica" w:eastAsia="Times New Roman" w:hAnsi="Helvetica" w:cs="Helvetica"/>
          <w:i/>
          <w:color w:val="0A1B32"/>
          <w:sz w:val="27"/>
          <w:szCs w:val="27"/>
          <w:lang w:val="en-US" w:eastAsia="pl-PL"/>
        </w:rPr>
        <w:t xml:space="preserve"> </w:t>
      </w:r>
      <w:r w:rsidRPr="007D4FCA">
        <w:rPr>
          <w:rFonts w:ascii="Helvetica" w:eastAsia="Times New Roman" w:hAnsi="Helvetica" w:cs="Helvetica"/>
          <w:i/>
          <w:color w:val="0A1B32"/>
          <w:sz w:val="27"/>
          <w:szCs w:val="27"/>
          <w:lang w:val="en-US" w:eastAsia="pl-PL"/>
        </w:rPr>
        <w:t xml:space="preserve">is 0 with probability 1 </w:t>
      </w: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 xml:space="preserve"> </w:t>
      </w:r>
      <w:r w:rsidRPr="007D4FCA">
        <w:rPr>
          <w:rFonts w:ascii="Helvetica" w:eastAsia="Times New Roman" w:hAnsi="Helvetica" w:cs="Helvetica" w:hint="eastAsia"/>
          <w:i/>
          <w:color w:val="0A1B32"/>
          <w:sz w:val="27"/>
          <w:szCs w:val="27"/>
          <w:lang w:val="en-US" w:eastAsia="pl-PL"/>
        </w:rPr>
        <w:t>λ</w:t>
      </w:r>
      <w:r w:rsidRPr="007D4FCA">
        <w:rPr>
          <w:rFonts w:ascii="Helvetica" w:eastAsia="Times New Roman" w:hAnsi="Helvetica" w:cs="Helvetica"/>
          <w:i/>
          <w:color w:val="0A1B32"/>
          <w:sz w:val="27"/>
          <w:szCs w:val="27"/>
          <w:lang w:val="en-US" w:eastAsia="pl-PL"/>
        </w:rPr>
        <w:t xml:space="preserve"> </w:t>
      </w:r>
      <w:proofErr w:type="spellStart"/>
      <w:r w:rsidRPr="007D4FCA">
        <w:rPr>
          <w:rFonts w:ascii="Helvetica" w:eastAsia="Times New Roman" w:hAnsi="Helvetica" w:cs="Helvetica"/>
          <w:i/>
          <w:color w:val="0A1B32"/>
          <w:sz w:val="27"/>
          <w:szCs w:val="27"/>
          <w:lang w:val="en-US" w:eastAsia="pl-PL"/>
        </w:rPr>
        <w:t>dt</w:t>
      </w:r>
      <w:proofErr w:type="spellEnd"/>
      <w:r w:rsidRPr="007D4FCA">
        <w:rPr>
          <w:rFonts w:ascii="Helvetica" w:eastAsia="Times New Roman" w:hAnsi="Helvetica" w:cs="Helvetica"/>
          <w:i/>
          <w:color w:val="0A1B32"/>
          <w:sz w:val="27"/>
          <w:szCs w:val="27"/>
          <w:lang w:val="en-US" w:eastAsia="pl-PL"/>
        </w:rPr>
        <w:t xml:space="preserve"> and 1 with probability </w:t>
      </w:r>
      <w:r w:rsidRPr="007D4FCA">
        <w:rPr>
          <w:rFonts w:ascii="Helvetica" w:eastAsia="Times New Roman" w:hAnsi="Helvetica" w:cs="Helvetica" w:hint="eastAsia"/>
          <w:i/>
          <w:color w:val="0A1B32"/>
          <w:sz w:val="27"/>
          <w:szCs w:val="27"/>
          <w:lang w:val="en-US" w:eastAsia="pl-PL"/>
        </w:rPr>
        <w:t>λ</w:t>
      </w:r>
      <w:r w:rsidRPr="007D4FCA">
        <w:rPr>
          <w:rFonts w:ascii="Helvetica" w:eastAsia="Times New Roman" w:hAnsi="Helvetica" w:cs="Helvetica"/>
          <w:i/>
          <w:color w:val="0A1B32"/>
          <w:sz w:val="27"/>
          <w:szCs w:val="27"/>
          <w:lang w:val="en-US" w:eastAsia="pl-PL"/>
        </w:rPr>
        <w:t xml:space="preserve"> </w:t>
      </w:r>
      <w:proofErr w:type="spellStart"/>
      <w:r w:rsidRPr="007D4FCA">
        <w:rPr>
          <w:rFonts w:ascii="Helvetica" w:eastAsia="Times New Roman" w:hAnsi="Helvetica" w:cs="Helvetica"/>
          <w:i/>
          <w:color w:val="0A1B32"/>
          <w:sz w:val="27"/>
          <w:szCs w:val="27"/>
          <w:lang w:val="en-US" w:eastAsia="pl-PL"/>
        </w:rPr>
        <w:t>dt.</w:t>
      </w:r>
      <w:proofErr w:type="spellEnd"/>
    </w:p>
    <w:p w:rsidR="007D4FCA" w:rsidRDefault="007D4FCA" w:rsidP="007D4FCA">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Note how the probability</w:t>
      </w:r>
      <w:r>
        <w:rPr>
          <w:rFonts w:ascii="Helvetica" w:eastAsia="Times New Roman" w:hAnsi="Helvetica" w:cs="Helvetica"/>
          <w:i/>
          <w:color w:val="0A1B32"/>
          <w:sz w:val="27"/>
          <w:szCs w:val="27"/>
          <w:lang w:val="en-US" w:eastAsia="pl-PL"/>
        </w:rPr>
        <w:t xml:space="preserve"> of a jump scales with the time </w:t>
      </w:r>
      <w:r w:rsidRPr="007D4FCA">
        <w:rPr>
          <w:rFonts w:ascii="Helvetica" w:eastAsia="Times New Roman" w:hAnsi="Helvetica" w:cs="Helvetica"/>
          <w:i/>
          <w:color w:val="0A1B32"/>
          <w:sz w:val="27"/>
          <w:szCs w:val="27"/>
          <w:lang w:val="en-US" w:eastAsia="pl-PL"/>
        </w:rPr>
        <w:t xml:space="preserve">period over which the jump may happen, </w:t>
      </w:r>
      <w:proofErr w:type="spellStart"/>
      <w:r w:rsidRPr="007D4FCA">
        <w:rPr>
          <w:rFonts w:ascii="Helvetica" w:eastAsia="Times New Roman" w:hAnsi="Helvetica" w:cs="Helvetica"/>
          <w:i/>
          <w:color w:val="0A1B32"/>
          <w:sz w:val="27"/>
          <w:szCs w:val="27"/>
          <w:lang w:val="en-US" w:eastAsia="pl-PL"/>
        </w:rPr>
        <w:t>dt</w:t>
      </w:r>
      <w:r>
        <w:rPr>
          <w:rFonts w:ascii="Helvetica" w:eastAsia="Times New Roman" w:hAnsi="Helvetica" w:cs="Helvetica"/>
          <w:i/>
          <w:color w:val="0A1B32"/>
          <w:sz w:val="27"/>
          <w:szCs w:val="27"/>
          <w:lang w:val="en-US" w:eastAsia="pl-PL"/>
        </w:rPr>
        <w:t>.</w:t>
      </w:r>
      <w:proofErr w:type="spellEnd"/>
      <w:r>
        <w:rPr>
          <w:rFonts w:ascii="Helvetica" w:eastAsia="Times New Roman" w:hAnsi="Helvetica" w:cs="Helvetica"/>
          <w:i/>
          <w:color w:val="0A1B32"/>
          <w:sz w:val="27"/>
          <w:szCs w:val="27"/>
          <w:lang w:val="en-US" w:eastAsia="pl-PL"/>
        </w:rPr>
        <w:t xml:space="preserve"> The scale </w:t>
      </w:r>
      <w:r w:rsidRPr="007D4FCA">
        <w:rPr>
          <w:rFonts w:ascii="Helvetica" w:eastAsia="Times New Roman" w:hAnsi="Helvetica" w:cs="Helvetica"/>
          <w:i/>
          <w:color w:val="0A1B32"/>
          <w:sz w:val="27"/>
          <w:szCs w:val="27"/>
          <w:lang w:val="en-US" w:eastAsia="pl-PL"/>
        </w:rPr>
        <w:t xml:space="preserve">factor </w:t>
      </w:r>
      <w:r w:rsidRPr="007D4FCA">
        <w:rPr>
          <w:rFonts w:ascii="Helvetica" w:eastAsia="Times New Roman" w:hAnsi="Helvetica" w:cs="Helvetica" w:hint="eastAsia"/>
          <w:i/>
          <w:color w:val="0A1B32"/>
          <w:sz w:val="27"/>
          <w:szCs w:val="27"/>
          <w:lang w:val="en-US" w:eastAsia="pl-PL"/>
        </w:rPr>
        <w:t>λ</w:t>
      </w:r>
      <w:r w:rsidRPr="007D4FCA">
        <w:rPr>
          <w:rFonts w:ascii="Helvetica" w:eastAsia="Times New Roman" w:hAnsi="Helvetica" w:cs="Helvetica"/>
          <w:i/>
          <w:color w:val="0A1B32"/>
          <w:sz w:val="27"/>
          <w:szCs w:val="27"/>
          <w:lang w:val="en-US" w:eastAsia="pl-PL"/>
        </w:rPr>
        <w:t xml:space="preserve"> is known as the intensity </w:t>
      </w:r>
      <w:r>
        <w:rPr>
          <w:rFonts w:ascii="Helvetica" w:eastAsia="Times New Roman" w:hAnsi="Helvetica" w:cs="Helvetica"/>
          <w:i/>
          <w:color w:val="0A1B32"/>
          <w:sz w:val="27"/>
          <w:szCs w:val="27"/>
          <w:lang w:val="en-US" w:eastAsia="pl-PL"/>
        </w:rPr>
        <w:t xml:space="preserve">of the process, the </w:t>
      </w:r>
      <w:r w:rsidRPr="007D4FCA">
        <w:rPr>
          <w:rFonts w:ascii="Helvetica" w:eastAsia="Times New Roman" w:hAnsi="Helvetica" w:cs="Helvetica"/>
          <w:i/>
          <w:color w:val="0A1B32"/>
          <w:sz w:val="27"/>
          <w:szCs w:val="27"/>
          <w:lang w:val="en-US" w:eastAsia="pl-PL"/>
        </w:rPr>
        <w:t xml:space="preserve">larger </w:t>
      </w:r>
      <w:r w:rsidRPr="007D4FCA">
        <w:rPr>
          <w:rFonts w:ascii="Helvetica" w:eastAsia="Times New Roman" w:hAnsi="Helvetica" w:cs="Helvetica" w:hint="eastAsia"/>
          <w:i/>
          <w:color w:val="0A1B32"/>
          <w:sz w:val="27"/>
          <w:szCs w:val="27"/>
          <w:lang w:val="en-US" w:eastAsia="pl-PL"/>
        </w:rPr>
        <w:t>λ</w:t>
      </w:r>
      <w:r w:rsidRPr="007D4FCA">
        <w:rPr>
          <w:rFonts w:ascii="Helvetica" w:eastAsia="Times New Roman" w:hAnsi="Helvetica" w:cs="Helvetica"/>
          <w:i/>
          <w:color w:val="0A1B32"/>
          <w:sz w:val="27"/>
          <w:szCs w:val="27"/>
          <w:lang w:val="en-US" w:eastAsia="pl-PL"/>
        </w:rPr>
        <w:t xml:space="preserve"> </w:t>
      </w:r>
      <w:r>
        <w:rPr>
          <w:rFonts w:ascii="Helvetica" w:eastAsia="Times New Roman" w:hAnsi="Helvetica" w:cs="Helvetica"/>
          <w:i/>
          <w:color w:val="0A1B32"/>
          <w:sz w:val="27"/>
          <w:szCs w:val="27"/>
          <w:lang w:val="en-US" w:eastAsia="pl-PL"/>
        </w:rPr>
        <w:t xml:space="preserve">the more frequent the jumps. </w:t>
      </w:r>
      <w:r w:rsidRPr="007D4FCA">
        <w:rPr>
          <w:rFonts w:ascii="Helvetica" w:eastAsia="Times New Roman" w:hAnsi="Helvetica" w:cs="Helvetica"/>
          <w:i/>
          <w:color w:val="0A1B32"/>
          <w:sz w:val="27"/>
          <w:szCs w:val="27"/>
          <w:lang w:val="en-US" w:eastAsia="pl-PL"/>
        </w:rPr>
        <w:t>This process can b</w:t>
      </w:r>
      <w:r>
        <w:rPr>
          <w:rFonts w:ascii="Helvetica" w:eastAsia="Times New Roman" w:hAnsi="Helvetica" w:cs="Helvetica"/>
          <w:i/>
          <w:color w:val="0A1B32"/>
          <w:sz w:val="27"/>
          <w:szCs w:val="27"/>
          <w:lang w:val="en-US" w:eastAsia="pl-PL"/>
        </w:rPr>
        <w:t xml:space="preserve">e used to model a discontinuous </w:t>
      </w:r>
      <w:r w:rsidRPr="007D4FCA">
        <w:rPr>
          <w:rFonts w:ascii="Helvetica" w:eastAsia="Times New Roman" w:hAnsi="Helvetica" w:cs="Helvetica"/>
          <w:i/>
          <w:color w:val="0A1B32"/>
          <w:sz w:val="27"/>
          <w:szCs w:val="27"/>
          <w:lang w:val="en-US" w:eastAsia="pl-PL"/>
        </w:rPr>
        <w:t>financial random var</w:t>
      </w:r>
      <w:r>
        <w:rPr>
          <w:rFonts w:ascii="Helvetica" w:eastAsia="Times New Roman" w:hAnsi="Helvetica" w:cs="Helvetica"/>
          <w:i/>
          <w:color w:val="0A1B32"/>
          <w:sz w:val="27"/>
          <w:szCs w:val="27"/>
          <w:lang w:val="en-US" w:eastAsia="pl-PL"/>
        </w:rPr>
        <w:t xml:space="preserve">iable, such as an equity price, </w:t>
      </w:r>
      <w:r w:rsidRPr="007D4FCA">
        <w:rPr>
          <w:rFonts w:ascii="Helvetica" w:eastAsia="Times New Roman" w:hAnsi="Helvetica" w:cs="Helvetica"/>
          <w:i/>
          <w:color w:val="0A1B32"/>
          <w:sz w:val="27"/>
          <w:szCs w:val="27"/>
          <w:lang w:val="en-US" w:eastAsia="pl-PL"/>
        </w:rPr>
        <w:t>volatility or an interest</w:t>
      </w:r>
      <w:r>
        <w:rPr>
          <w:rFonts w:ascii="Helvetica" w:eastAsia="Times New Roman" w:hAnsi="Helvetica" w:cs="Helvetica"/>
          <w:i/>
          <w:color w:val="0A1B32"/>
          <w:sz w:val="27"/>
          <w:szCs w:val="27"/>
          <w:lang w:val="en-US" w:eastAsia="pl-PL"/>
        </w:rPr>
        <w:t xml:space="preserve"> rate. Although there have been </w:t>
      </w:r>
      <w:r w:rsidRPr="007D4FCA">
        <w:rPr>
          <w:rFonts w:ascii="Helvetica" w:eastAsia="Times New Roman" w:hAnsi="Helvetica" w:cs="Helvetica"/>
          <w:i/>
          <w:color w:val="0A1B32"/>
          <w:sz w:val="27"/>
          <w:szCs w:val="27"/>
          <w:lang w:val="en-US" w:eastAsia="pl-PL"/>
        </w:rPr>
        <w:t>research papers on p</w:t>
      </w:r>
      <w:r>
        <w:rPr>
          <w:rFonts w:ascii="Helvetica" w:eastAsia="Times New Roman" w:hAnsi="Helvetica" w:cs="Helvetica"/>
          <w:i/>
          <w:color w:val="0A1B32"/>
          <w:sz w:val="27"/>
          <w:szCs w:val="27"/>
          <w:lang w:val="en-US" w:eastAsia="pl-PL"/>
        </w:rPr>
        <w:t xml:space="preserve">ure jump processes as financial </w:t>
      </w:r>
      <w:r w:rsidRPr="007D4FCA">
        <w:rPr>
          <w:rFonts w:ascii="Helvetica" w:eastAsia="Times New Roman" w:hAnsi="Helvetica" w:cs="Helvetica"/>
          <w:i/>
          <w:color w:val="0A1B32"/>
          <w:sz w:val="27"/>
          <w:szCs w:val="27"/>
          <w:lang w:val="en-US" w:eastAsia="pl-PL"/>
        </w:rPr>
        <w:t>models it is more usual to combine jumps with classical</w:t>
      </w:r>
      <w:r>
        <w:rPr>
          <w:rFonts w:ascii="Helvetica" w:eastAsia="Times New Roman" w:hAnsi="Helvetica" w:cs="Helvetica"/>
          <w:i/>
          <w:color w:val="0A1B32"/>
          <w:sz w:val="27"/>
          <w:szCs w:val="27"/>
          <w:lang w:val="en-US" w:eastAsia="pl-PL"/>
        </w:rPr>
        <w:t xml:space="preserve"> </w:t>
      </w:r>
      <w:r w:rsidRPr="007D4FCA">
        <w:rPr>
          <w:rFonts w:ascii="Helvetica" w:eastAsia="Times New Roman" w:hAnsi="Helvetica" w:cs="Helvetica"/>
          <w:i/>
          <w:color w:val="0A1B32"/>
          <w:sz w:val="27"/>
          <w:szCs w:val="27"/>
          <w:lang w:val="en-US" w:eastAsia="pl-PL"/>
        </w:rPr>
        <w:t>Brownian motion. The model for equities, for</w:t>
      </w:r>
      <w:r>
        <w:rPr>
          <w:rFonts w:ascii="Helvetica" w:eastAsia="Times New Roman" w:hAnsi="Helvetica" w:cs="Helvetica"/>
          <w:i/>
          <w:color w:val="0A1B32"/>
          <w:sz w:val="27"/>
          <w:szCs w:val="27"/>
          <w:lang w:val="en-US" w:eastAsia="pl-PL"/>
        </w:rPr>
        <w:t xml:space="preserve"> example, </w:t>
      </w:r>
      <w:r w:rsidRPr="007D4FCA">
        <w:rPr>
          <w:rFonts w:ascii="Helvetica" w:eastAsia="Times New Roman" w:hAnsi="Helvetica" w:cs="Helvetica"/>
          <w:i/>
          <w:color w:val="0A1B32"/>
          <w:sz w:val="27"/>
          <w:szCs w:val="27"/>
          <w:lang w:val="en-US" w:eastAsia="pl-PL"/>
        </w:rPr>
        <w:t>is often taken to be</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p>
    <w:p w:rsid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proofErr w:type="spellStart"/>
      <w:r w:rsidRPr="007D4FCA">
        <w:rPr>
          <w:rFonts w:ascii="Helvetica" w:eastAsia="Times New Roman" w:hAnsi="Helvetica" w:cs="Helvetica"/>
          <w:i/>
          <w:color w:val="0A1B32"/>
          <w:sz w:val="27"/>
          <w:szCs w:val="27"/>
          <w:lang w:val="en-US" w:eastAsia="pl-PL"/>
        </w:rPr>
        <w:t>dS</w:t>
      </w:r>
      <w:proofErr w:type="spellEnd"/>
      <w:r w:rsidRPr="007D4FCA">
        <w:rPr>
          <w:rFonts w:ascii="Helvetica" w:eastAsia="Times New Roman" w:hAnsi="Helvetica" w:cs="Helvetica"/>
          <w:i/>
          <w:color w:val="0A1B32"/>
          <w:sz w:val="27"/>
          <w:szCs w:val="27"/>
          <w:lang w:val="en-US" w:eastAsia="pl-PL"/>
        </w:rPr>
        <w:t xml:space="preserve"> = </w:t>
      </w:r>
      <w:proofErr w:type="spellStart"/>
      <w:r w:rsidRPr="007D4FCA">
        <w:rPr>
          <w:rFonts w:ascii="Helvetica" w:eastAsia="Times New Roman" w:hAnsi="Helvetica" w:cs="Helvetica" w:hint="eastAsia"/>
          <w:i/>
          <w:color w:val="0A1B32"/>
          <w:sz w:val="27"/>
          <w:szCs w:val="27"/>
          <w:lang w:val="en-US" w:eastAsia="pl-PL"/>
        </w:rPr>
        <w:t>μ</w:t>
      </w:r>
      <w:r w:rsidRPr="007D4FCA">
        <w:rPr>
          <w:rFonts w:ascii="Helvetica" w:eastAsia="Times New Roman" w:hAnsi="Helvetica" w:cs="Helvetica"/>
          <w:i/>
          <w:color w:val="0A1B32"/>
          <w:sz w:val="27"/>
          <w:szCs w:val="27"/>
          <w:lang w:val="en-US" w:eastAsia="pl-PL"/>
        </w:rPr>
        <w:t>S</w:t>
      </w:r>
      <w:proofErr w:type="spellEnd"/>
      <w:r w:rsidRPr="007D4FCA">
        <w:rPr>
          <w:rFonts w:ascii="Helvetica" w:eastAsia="Times New Roman" w:hAnsi="Helvetica" w:cs="Helvetica"/>
          <w:i/>
          <w:color w:val="0A1B32"/>
          <w:sz w:val="27"/>
          <w:szCs w:val="27"/>
          <w:lang w:val="en-US" w:eastAsia="pl-PL"/>
        </w:rPr>
        <w:t xml:space="preserve"> </w:t>
      </w:r>
      <w:proofErr w:type="spellStart"/>
      <w:r w:rsidRPr="007D4FCA">
        <w:rPr>
          <w:rFonts w:ascii="Helvetica" w:eastAsia="Times New Roman" w:hAnsi="Helvetica" w:cs="Helvetica"/>
          <w:i/>
          <w:color w:val="0A1B32"/>
          <w:sz w:val="27"/>
          <w:szCs w:val="27"/>
          <w:lang w:val="en-US" w:eastAsia="pl-PL"/>
        </w:rPr>
        <w:t>dt</w:t>
      </w:r>
      <w:proofErr w:type="spellEnd"/>
      <w:r w:rsidRPr="007D4FCA">
        <w:rPr>
          <w:rFonts w:ascii="Helvetica" w:eastAsia="Times New Roman" w:hAnsi="Helvetica" w:cs="Helvetica"/>
          <w:i/>
          <w:color w:val="0A1B32"/>
          <w:sz w:val="27"/>
          <w:szCs w:val="27"/>
          <w:lang w:val="en-US" w:eastAsia="pl-PL"/>
        </w:rPr>
        <w:t xml:space="preserve"> + </w:t>
      </w:r>
      <w:proofErr w:type="spellStart"/>
      <w:r w:rsidRPr="007D4FCA">
        <w:rPr>
          <w:rFonts w:ascii="Helvetica" w:eastAsia="Times New Roman" w:hAnsi="Helvetica" w:cs="Helvetica" w:hint="eastAsia"/>
          <w:i/>
          <w:color w:val="0A1B32"/>
          <w:sz w:val="27"/>
          <w:szCs w:val="27"/>
          <w:lang w:val="en-US" w:eastAsia="pl-PL"/>
        </w:rPr>
        <w:t>σ</w:t>
      </w:r>
      <w:r w:rsidRPr="007D4FCA">
        <w:rPr>
          <w:rFonts w:ascii="Helvetica" w:eastAsia="Times New Roman" w:hAnsi="Helvetica" w:cs="Helvetica"/>
          <w:i/>
          <w:color w:val="0A1B32"/>
          <w:sz w:val="27"/>
          <w:szCs w:val="27"/>
          <w:lang w:val="en-US" w:eastAsia="pl-PL"/>
        </w:rPr>
        <w:t>S</w:t>
      </w:r>
      <w:proofErr w:type="spellEnd"/>
      <w:r w:rsidRPr="007D4FCA">
        <w:rPr>
          <w:rFonts w:ascii="Helvetica" w:eastAsia="Times New Roman" w:hAnsi="Helvetica" w:cs="Helvetica"/>
          <w:i/>
          <w:color w:val="0A1B32"/>
          <w:sz w:val="27"/>
          <w:szCs w:val="27"/>
          <w:lang w:val="en-US" w:eastAsia="pl-PL"/>
        </w:rPr>
        <w:t xml:space="preserve"> </w:t>
      </w:r>
      <w:proofErr w:type="spellStart"/>
      <w:r w:rsidRPr="007D4FCA">
        <w:rPr>
          <w:rFonts w:ascii="Helvetica" w:eastAsia="Times New Roman" w:hAnsi="Helvetica" w:cs="Helvetica"/>
          <w:i/>
          <w:color w:val="0A1B32"/>
          <w:sz w:val="27"/>
          <w:szCs w:val="27"/>
          <w:lang w:val="en-US" w:eastAsia="pl-PL"/>
        </w:rPr>
        <w:t>dX</w:t>
      </w:r>
      <w:proofErr w:type="spellEnd"/>
      <w:r w:rsidRPr="007D4FCA">
        <w:rPr>
          <w:rFonts w:ascii="Helvetica" w:eastAsia="Times New Roman" w:hAnsi="Helvetica" w:cs="Helvetica"/>
          <w:i/>
          <w:color w:val="0A1B32"/>
          <w:sz w:val="27"/>
          <w:szCs w:val="27"/>
          <w:lang w:val="en-US" w:eastAsia="pl-PL"/>
        </w:rPr>
        <w:t xml:space="preserve"> + (J </w:t>
      </w: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 xml:space="preserve"> 1)S </w:t>
      </w:r>
      <w:proofErr w:type="spellStart"/>
      <w:r w:rsidRPr="007D4FCA">
        <w:rPr>
          <w:rFonts w:ascii="Helvetica" w:eastAsia="Times New Roman" w:hAnsi="Helvetica" w:cs="Helvetica"/>
          <w:i/>
          <w:color w:val="0A1B32"/>
          <w:sz w:val="27"/>
          <w:szCs w:val="27"/>
          <w:lang w:val="en-US" w:eastAsia="pl-PL"/>
        </w:rPr>
        <w:t>dq</w:t>
      </w:r>
      <w:proofErr w:type="spellEnd"/>
      <w:r w:rsidRPr="007D4FCA">
        <w:rPr>
          <w:rFonts w:ascii="Helvetica" w:eastAsia="Times New Roman" w:hAnsi="Helvetica" w:cs="Helvetica"/>
          <w:i/>
          <w:color w:val="0A1B32"/>
          <w:sz w:val="27"/>
          <w:szCs w:val="27"/>
          <w:lang w:val="en-US" w:eastAsia="pl-PL"/>
        </w:rPr>
        <w:t>.</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p>
    <w:p w:rsidR="007D4FCA" w:rsidRDefault="007D4FCA" w:rsidP="0013613F">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proofErr w:type="spellStart"/>
      <w:r w:rsidRPr="007D4FCA">
        <w:rPr>
          <w:rFonts w:ascii="Helvetica" w:eastAsia="Times New Roman" w:hAnsi="Helvetica" w:cs="Helvetica"/>
          <w:i/>
          <w:color w:val="0A1B32"/>
          <w:sz w:val="27"/>
          <w:szCs w:val="27"/>
          <w:lang w:val="en-US" w:eastAsia="pl-PL"/>
        </w:rPr>
        <w:t>dq</w:t>
      </w:r>
      <w:proofErr w:type="spellEnd"/>
      <w:r w:rsidRPr="007D4FCA">
        <w:rPr>
          <w:rFonts w:ascii="Helvetica" w:eastAsia="Times New Roman" w:hAnsi="Helvetica" w:cs="Helvetica"/>
          <w:i/>
          <w:color w:val="0A1B32"/>
          <w:sz w:val="27"/>
          <w:szCs w:val="27"/>
          <w:lang w:val="en-US" w:eastAsia="pl-PL"/>
        </w:rPr>
        <w:t xml:space="preserve"> is as defined above, with intensity </w:t>
      </w:r>
      <w:r w:rsidRPr="007D4FCA">
        <w:rPr>
          <w:rFonts w:ascii="Helvetica" w:eastAsia="Times New Roman" w:hAnsi="Helvetica" w:cs="Helvetica" w:hint="eastAsia"/>
          <w:i/>
          <w:color w:val="0A1B32"/>
          <w:sz w:val="27"/>
          <w:szCs w:val="27"/>
          <w:lang w:val="en-US" w:eastAsia="pl-PL"/>
        </w:rPr>
        <w:t>λ</w:t>
      </w:r>
      <w:r w:rsidRPr="007D4FCA">
        <w:rPr>
          <w:rFonts w:ascii="Helvetica" w:eastAsia="Times New Roman" w:hAnsi="Helvetica" w:cs="Helvetica"/>
          <w:i/>
          <w:color w:val="0A1B32"/>
          <w:sz w:val="27"/>
          <w:szCs w:val="27"/>
          <w:lang w:val="en-US" w:eastAsia="pl-PL"/>
        </w:rPr>
        <w:t xml:space="preserve">, J </w:t>
      </w: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 xml:space="preserve"> </w:t>
      </w:r>
      <w:r w:rsidR="0013613F">
        <w:rPr>
          <w:rFonts w:ascii="Helvetica" w:eastAsia="Times New Roman" w:hAnsi="Helvetica" w:cs="Helvetica"/>
          <w:i/>
          <w:color w:val="0A1B32"/>
          <w:sz w:val="27"/>
          <w:szCs w:val="27"/>
          <w:lang w:val="en-US" w:eastAsia="pl-PL"/>
        </w:rPr>
        <w:t xml:space="preserve">1 is the jump </w:t>
      </w:r>
      <w:r w:rsidRPr="007D4FCA">
        <w:rPr>
          <w:rFonts w:ascii="Helvetica" w:eastAsia="Times New Roman" w:hAnsi="Helvetica" w:cs="Helvetica"/>
          <w:i/>
          <w:color w:val="0A1B32"/>
          <w:sz w:val="27"/>
          <w:szCs w:val="27"/>
          <w:lang w:val="en-US" w:eastAsia="pl-PL"/>
        </w:rPr>
        <w:t>size, usually taken to be</w:t>
      </w:r>
      <w:r w:rsidR="0013613F">
        <w:rPr>
          <w:rFonts w:ascii="Helvetica" w:eastAsia="Times New Roman" w:hAnsi="Helvetica" w:cs="Helvetica"/>
          <w:i/>
          <w:color w:val="0A1B32"/>
          <w:sz w:val="27"/>
          <w:szCs w:val="27"/>
          <w:lang w:val="en-US" w:eastAsia="pl-PL"/>
        </w:rPr>
        <w:t xml:space="preserve"> random as well. Jump-diffusion </w:t>
      </w:r>
      <w:r w:rsidRPr="007D4FCA">
        <w:rPr>
          <w:rFonts w:ascii="Helvetica" w:eastAsia="Times New Roman" w:hAnsi="Helvetica" w:cs="Helvetica"/>
          <w:i/>
          <w:color w:val="0A1B32"/>
          <w:sz w:val="27"/>
          <w:szCs w:val="27"/>
          <w:lang w:val="en-US" w:eastAsia="pl-PL"/>
        </w:rPr>
        <w:t>models can do a good jo</w:t>
      </w:r>
      <w:r w:rsidR="0013613F">
        <w:rPr>
          <w:rFonts w:ascii="Helvetica" w:eastAsia="Times New Roman" w:hAnsi="Helvetica" w:cs="Helvetica"/>
          <w:i/>
          <w:color w:val="0A1B32"/>
          <w:sz w:val="27"/>
          <w:szCs w:val="27"/>
          <w:lang w:val="en-US" w:eastAsia="pl-PL"/>
        </w:rPr>
        <w:t xml:space="preserve">b of representing the real-life </w:t>
      </w:r>
      <w:r w:rsidRPr="007D4FCA">
        <w:rPr>
          <w:rFonts w:ascii="Helvetica" w:eastAsia="Times New Roman" w:hAnsi="Helvetica" w:cs="Helvetica"/>
          <w:i/>
          <w:color w:val="0A1B32"/>
          <w:sz w:val="27"/>
          <w:szCs w:val="27"/>
          <w:lang w:val="en-US" w:eastAsia="pl-PL"/>
        </w:rPr>
        <w:t>phenomenon of discontinu</w:t>
      </w:r>
      <w:r w:rsidR="0013613F">
        <w:rPr>
          <w:rFonts w:ascii="Helvetica" w:eastAsia="Times New Roman" w:hAnsi="Helvetica" w:cs="Helvetica"/>
          <w:i/>
          <w:color w:val="0A1B32"/>
          <w:sz w:val="27"/>
          <w:szCs w:val="27"/>
          <w:lang w:val="en-US" w:eastAsia="pl-PL"/>
        </w:rPr>
        <w:t xml:space="preserve">ity in variables, and capturing </w:t>
      </w:r>
      <w:r w:rsidRPr="007D4FCA">
        <w:rPr>
          <w:rFonts w:ascii="Helvetica" w:eastAsia="Times New Roman" w:hAnsi="Helvetica" w:cs="Helvetica"/>
          <w:i/>
          <w:color w:val="0A1B32"/>
          <w:sz w:val="27"/>
          <w:szCs w:val="27"/>
          <w:lang w:val="en-US" w:eastAsia="pl-PL"/>
        </w:rPr>
        <w:t xml:space="preserve">the </w:t>
      </w:r>
      <w:r w:rsidR="0013613F">
        <w:rPr>
          <w:rFonts w:ascii="Helvetica" w:eastAsia="Times New Roman" w:hAnsi="Helvetica" w:cs="Helvetica"/>
          <w:i/>
          <w:color w:val="0A1B32"/>
          <w:sz w:val="27"/>
          <w:szCs w:val="27"/>
          <w:lang w:val="en-US" w:eastAsia="pl-PL"/>
        </w:rPr>
        <w:t xml:space="preserve">fat tails seen in returns data. </w:t>
      </w:r>
      <w:r w:rsidRPr="007D4FCA">
        <w:rPr>
          <w:rFonts w:ascii="Helvetica" w:eastAsia="Times New Roman" w:hAnsi="Helvetica" w:cs="Helvetica"/>
          <w:i/>
          <w:color w:val="0A1B32"/>
          <w:sz w:val="27"/>
          <w:szCs w:val="27"/>
          <w:lang w:val="en-US" w:eastAsia="pl-PL"/>
        </w:rPr>
        <w:t>The model for the unde</w:t>
      </w:r>
      <w:r w:rsidR="0013613F">
        <w:rPr>
          <w:rFonts w:ascii="Helvetica" w:eastAsia="Times New Roman" w:hAnsi="Helvetica" w:cs="Helvetica"/>
          <w:i/>
          <w:color w:val="0A1B32"/>
          <w:sz w:val="27"/>
          <w:szCs w:val="27"/>
          <w:lang w:val="en-US" w:eastAsia="pl-PL"/>
        </w:rPr>
        <w:t xml:space="preserve">rlying asset results in a model </w:t>
      </w:r>
      <w:r w:rsidRPr="007D4FCA">
        <w:rPr>
          <w:rFonts w:ascii="Helvetica" w:eastAsia="Times New Roman" w:hAnsi="Helvetica" w:cs="Helvetica"/>
          <w:i/>
          <w:color w:val="0A1B32"/>
          <w:sz w:val="27"/>
          <w:szCs w:val="27"/>
          <w:lang w:val="en-US" w:eastAsia="pl-PL"/>
        </w:rPr>
        <w:t>for option prices. This model</w:t>
      </w:r>
      <w:r w:rsidR="0013613F">
        <w:rPr>
          <w:rFonts w:ascii="Helvetica" w:eastAsia="Times New Roman" w:hAnsi="Helvetica" w:cs="Helvetica"/>
          <w:i/>
          <w:color w:val="0A1B32"/>
          <w:sz w:val="27"/>
          <w:szCs w:val="27"/>
          <w:lang w:val="en-US" w:eastAsia="pl-PL"/>
        </w:rPr>
        <w:t xml:space="preserve"> will be an </w:t>
      </w:r>
      <w:proofErr w:type="spellStart"/>
      <w:r w:rsidR="0013613F">
        <w:rPr>
          <w:rFonts w:ascii="Helvetica" w:eastAsia="Times New Roman" w:hAnsi="Helvetica" w:cs="Helvetica"/>
          <w:i/>
          <w:color w:val="0A1B32"/>
          <w:sz w:val="27"/>
          <w:szCs w:val="27"/>
          <w:lang w:val="en-US" w:eastAsia="pl-PL"/>
        </w:rPr>
        <w:t>integrodifferential</w:t>
      </w:r>
      <w:proofErr w:type="spellEnd"/>
      <w:r w:rsidR="0013613F">
        <w:rPr>
          <w:rFonts w:ascii="Helvetica" w:eastAsia="Times New Roman" w:hAnsi="Helvetica" w:cs="Helvetica"/>
          <w:i/>
          <w:color w:val="0A1B32"/>
          <w:sz w:val="27"/>
          <w:szCs w:val="27"/>
          <w:lang w:val="en-US" w:eastAsia="pl-PL"/>
        </w:rPr>
        <w:t xml:space="preserve"> </w:t>
      </w:r>
      <w:r w:rsidRPr="007D4FCA">
        <w:rPr>
          <w:rFonts w:ascii="Helvetica" w:eastAsia="Times New Roman" w:hAnsi="Helvetica" w:cs="Helvetica"/>
          <w:i/>
          <w:color w:val="0A1B32"/>
          <w:sz w:val="27"/>
          <w:szCs w:val="27"/>
          <w:lang w:val="en-US" w:eastAsia="pl-PL"/>
        </w:rPr>
        <w:t>equation, ty</w:t>
      </w:r>
      <w:r w:rsidR="0013613F">
        <w:rPr>
          <w:rFonts w:ascii="Helvetica" w:eastAsia="Times New Roman" w:hAnsi="Helvetica" w:cs="Helvetica"/>
          <w:i/>
          <w:color w:val="0A1B32"/>
          <w:sz w:val="27"/>
          <w:szCs w:val="27"/>
          <w:lang w:val="en-US" w:eastAsia="pl-PL"/>
        </w:rPr>
        <w:t xml:space="preserve">pically, with the integral term </w:t>
      </w:r>
      <w:r w:rsidRPr="007D4FCA">
        <w:rPr>
          <w:rFonts w:ascii="Helvetica" w:eastAsia="Times New Roman" w:hAnsi="Helvetica" w:cs="Helvetica"/>
          <w:i/>
          <w:color w:val="0A1B32"/>
          <w:sz w:val="27"/>
          <w:szCs w:val="27"/>
          <w:lang w:val="en-US" w:eastAsia="pl-PL"/>
        </w:rPr>
        <w:t>representing the pro</w:t>
      </w:r>
      <w:r w:rsidR="0013613F">
        <w:rPr>
          <w:rFonts w:ascii="Helvetica" w:eastAsia="Times New Roman" w:hAnsi="Helvetica" w:cs="Helvetica"/>
          <w:i/>
          <w:color w:val="0A1B32"/>
          <w:sz w:val="27"/>
          <w:szCs w:val="27"/>
          <w:lang w:val="en-US" w:eastAsia="pl-PL"/>
        </w:rPr>
        <w:t xml:space="preserve">bability of the stock jumping a </w:t>
      </w:r>
      <w:r w:rsidRPr="007D4FCA">
        <w:rPr>
          <w:rFonts w:ascii="Helvetica" w:eastAsia="Times New Roman" w:hAnsi="Helvetica" w:cs="Helvetica"/>
          <w:i/>
          <w:color w:val="0A1B32"/>
          <w:sz w:val="27"/>
          <w:szCs w:val="27"/>
          <w:lang w:val="en-US" w:eastAsia="pl-PL"/>
        </w:rPr>
        <w:t>finite distance disconti</w:t>
      </w:r>
      <w:r w:rsidR="0013613F">
        <w:rPr>
          <w:rFonts w:ascii="Helvetica" w:eastAsia="Times New Roman" w:hAnsi="Helvetica" w:cs="Helvetica"/>
          <w:i/>
          <w:color w:val="0A1B32"/>
          <w:sz w:val="27"/>
          <w:szCs w:val="27"/>
          <w:lang w:val="en-US" w:eastAsia="pl-PL"/>
        </w:rPr>
        <w:t xml:space="preserve">nuously. Unfortunately, markets </w:t>
      </w:r>
      <w:r w:rsidRPr="007D4FCA">
        <w:rPr>
          <w:rFonts w:ascii="Helvetica" w:eastAsia="Times New Roman" w:hAnsi="Helvetica" w:cs="Helvetica"/>
          <w:i/>
          <w:color w:val="0A1B32"/>
          <w:sz w:val="27"/>
          <w:szCs w:val="27"/>
          <w:lang w:val="en-US" w:eastAsia="pl-PL"/>
        </w:rPr>
        <w:t>with jumps of this natu</w:t>
      </w:r>
      <w:r w:rsidR="0013613F">
        <w:rPr>
          <w:rFonts w:ascii="Helvetica" w:eastAsia="Times New Roman" w:hAnsi="Helvetica" w:cs="Helvetica"/>
          <w:i/>
          <w:color w:val="0A1B32"/>
          <w:sz w:val="27"/>
          <w:szCs w:val="27"/>
          <w:lang w:val="en-US" w:eastAsia="pl-PL"/>
        </w:rPr>
        <w:t xml:space="preserve">re are incomplete, meaning that </w:t>
      </w:r>
      <w:r w:rsidRPr="007D4FCA">
        <w:rPr>
          <w:rFonts w:ascii="Helvetica" w:eastAsia="Times New Roman" w:hAnsi="Helvetica" w:cs="Helvetica"/>
          <w:i/>
          <w:color w:val="0A1B32"/>
          <w:sz w:val="27"/>
          <w:szCs w:val="27"/>
          <w:lang w:val="en-US" w:eastAsia="pl-PL"/>
        </w:rPr>
        <w:t>options cannot be hedged</w:t>
      </w:r>
      <w:r w:rsidR="0013613F">
        <w:rPr>
          <w:rFonts w:ascii="Helvetica" w:eastAsia="Times New Roman" w:hAnsi="Helvetica" w:cs="Helvetica"/>
          <w:i/>
          <w:color w:val="0A1B32"/>
          <w:sz w:val="27"/>
          <w:szCs w:val="27"/>
          <w:lang w:val="en-US" w:eastAsia="pl-PL"/>
        </w:rPr>
        <w:t xml:space="preserve"> to eliminate risk. In order to </w:t>
      </w:r>
      <w:r w:rsidRPr="007D4FCA">
        <w:rPr>
          <w:rFonts w:ascii="Helvetica" w:eastAsia="Times New Roman" w:hAnsi="Helvetica" w:cs="Helvetica"/>
          <w:i/>
          <w:color w:val="0A1B32"/>
          <w:sz w:val="27"/>
          <w:szCs w:val="27"/>
          <w:lang w:val="en-US" w:eastAsia="pl-PL"/>
        </w:rPr>
        <w:t>derive option-pricing equations one must t</w:t>
      </w:r>
      <w:r w:rsidR="0013613F">
        <w:rPr>
          <w:rFonts w:ascii="Helvetica" w:eastAsia="Times New Roman" w:hAnsi="Helvetica" w:cs="Helvetica"/>
          <w:i/>
          <w:color w:val="0A1B32"/>
          <w:sz w:val="27"/>
          <w:szCs w:val="27"/>
          <w:lang w:val="en-US" w:eastAsia="pl-PL"/>
        </w:rPr>
        <w:t xml:space="preserve">herefore make </w:t>
      </w:r>
      <w:r w:rsidRPr="007D4FCA">
        <w:rPr>
          <w:rFonts w:ascii="Helvetica" w:eastAsia="Times New Roman" w:hAnsi="Helvetica" w:cs="Helvetica"/>
          <w:i/>
          <w:color w:val="0A1B32"/>
          <w:sz w:val="27"/>
          <w:szCs w:val="27"/>
          <w:lang w:val="en-US" w:eastAsia="pl-PL"/>
        </w:rPr>
        <w:t>some assumptions abou</w:t>
      </w:r>
      <w:r w:rsidR="0013613F">
        <w:rPr>
          <w:rFonts w:ascii="Helvetica" w:eastAsia="Times New Roman" w:hAnsi="Helvetica" w:cs="Helvetica"/>
          <w:i/>
          <w:color w:val="0A1B32"/>
          <w:sz w:val="27"/>
          <w:szCs w:val="27"/>
          <w:lang w:val="en-US" w:eastAsia="pl-PL"/>
        </w:rPr>
        <w:t xml:space="preserve">t risk preferences or introduce </w:t>
      </w:r>
      <w:r w:rsidRPr="007D4FCA">
        <w:rPr>
          <w:rFonts w:ascii="Helvetica" w:eastAsia="Times New Roman" w:hAnsi="Helvetica" w:cs="Helvetica"/>
          <w:i/>
          <w:color w:val="0A1B32"/>
          <w:sz w:val="27"/>
          <w:szCs w:val="27"/>
          <w:lang w:val="en-US" w:eastAsia="pl-PL"/>
        </w:rPr>
        <w:t xml:space="preserve">more securities with which to hedge. Robert Merton was the </w:t>
      </w:r>
      <w:r w:rsidR="0013613F">
        <w:rPr>
          <w:rFonts w:ascii="Helvetica" w:eastAsia="Times New Roman" w:hAnsi="Helvetica" w:cs="Helvetica"/>
          <w:i/>
          <w:color w:val="0A1B32"/>
          <w:sz w:val="27"/>
          <w:szCs w:val="27"/>
          <w:lang w:val="en-US" w:eastAsia="pl-PL"/>
        </w:rPr>
        <w:t xml:space="preserve">first to propose jump-diffusion </w:t>
      </w:r>
      <w:r w:rsidRPr="007D4FCA">
        <w:rPr>
          <w:rFonts w:ascii="Helvetica" w:eastAsia="Times New Roman" w:hAnsi="Helvetica" w:cs="Helvetica"/>
          <w:i/>
          <w:color w:val="0A1B32"/>
          <w:sz w:val="27"/>
          <w:szCs w:val="27"/>
          <w:lang w:val="en-US" w:eastAsia="pl-PL"/>
        </w:rPr>
        <w:t>models. He derived th</w:t>
      </w:r>
      <w:r w:rsidR="0013613F">
        <w:rPr>
          <w:rFonts w:ascii="Helvetica" w:eastAsia="Times New Roman" w:hAnsi="Helvetica" w:cs="Helvetica"/>
          <w:i/>
          <w:color w:val="0A1B32"/>
          <w:sz w:val="27"/>
          <w:szCs w:val="27"/>
          <w:lang w:val="en-US" w:eastAsia="pl-PL"/>
        </w:rPr>
        <w:t xml:space="preserve">e following equation for equity </w:t>
      </w:r>
      <w:r w:rsidRPr="007D4FCA">
        <w:rPr>
          <w:rFonts w:ascii="Helvetica" w:eastAsia="Times New Roman" w:hAnsi="Helvetica" w:cs="Helvetica"/>
          <w:i/>
          <w:color w:val="0A1B32"/>
          <w:sz w:val="27"/>
          <w:szCs w:val="27"/>
          <w:lang w:val="en-US" w:eastAsia="pl-PL"/>
        </w:rPr>
        <w:t>option values</w:t>
      </w:r>
    </w:p>
    <w:p w:rsidR="0013613F" w:rsidRPr="007D4FCA" w:rsidRDefault="0013613F" w:rsidP="0013613F">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V</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t</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 xml:space="preserve">+ </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hint="eastAsia"/>
          <w:i/>
          <w:color w:val="0A1B32"/>
          <w:sz w:val="27"/>
          <w:szCs w:val="27"/>
          <w:lang w:val="en-US" w:eastAsia="pl-PL"/>
        </w:rPr>
        <w:lastRenderedPageBreak/>
        <w:t>σ</w:t>
      </w:r>
      <w:r w:rsidRPr="007D4FCA">
        <w:rPr>
          <w:rFonts w:ascii="Helvetica" w:eastAsia="Times New Roman" w:hAnsi="Helvetica" w:cs="Helvetica"/>
          <w:i/>
          <w:color w:val="0A1B32"/>
          <w:sz w:val="27"/>
          <w:szCs w:val="27"/>
          <w:lang w:val="en-US" w:eastAsia="pl-PL"/>
        </w:rPr>
        <w:t xml:space="preserve">2S2 </w:t>
      </w: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2V</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S2</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 xml:space="preserve">+ </w:t>
      </w:r>
      <w:proofErr w:type="spellStart"/>
      <w:r w:rsidRPr="007D4FCA">
        <w:rPr>
          <w:rFonts w:ascii="Helvetica" w:eastAsia="Times New Roman" w:hAnsi="Helvetica" w:cs="Helvetica"/>
          <w:i/>
          <w:color w:val="0A1B32"/>
          <w:sz w:val="27"/>
          <w:szCs w:val="27"/>
          <w:lang w:val="en-US" w:eastAsia="pl-PL"/>
        </w:rPr>
        <w:t>rS</w:t>
      </w:r>
      <w:proofErr w:type="spellEnd"/>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V</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S</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 xml:space="preserve"> </w:t>
      </w:r>
      <w:proofErr w:type="spellStart"/>
      <w:r w:rsidRPr="007D4FCA">
        <w:rPr>
          <w:rFonts w:ascii="Helvetica" w:eastAsia="Times New Roman" w:hAnsi="Helvetica" w:cs="Helvetica"/>
          <w:i/>
          <w:color w:val="0A1B32"/>
          <w:sz w:val="27"/>
          <w:szCs w:val="27"/>
          <w:lang w:val="en-US" w:eastAsia="pl-PL"/>
        </w:rPr>
        <w:t>rV</w:t>
      </w:r>
      <w:proofErr w:type="spellEnd"/>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 xml:space="preserve">+ </w:t>
      </w:r>
      <w:proofErr w:type="spellStart"/>
      <w:r w:rsidRPr="007D4FCA">
        <w:rPr>
          <w:rFonts w:ascii="Helvetica" w:eastAsia="Times New Roman" w:hAnsi="Helvetica" w:cs="Helvetica" w:hint="eastAsia"/>
          <w:i/>
          <w:color w:val="0A1B32"/>
          <w:sz w:val="27"/>
          <w:szCs w:val="27"/>
          <w:lang w:val="en-US" w:eastAsia="pl-PL"/>
        </w:rPr>
        <w:t>λ</w:t>
      </w:r>
      <w:r w:rsidRPr="007D4FCA">
        <w:rPr>
          <w:rFonts w:ascii="Helvetica" w:eastAsia="Times New Roman" w:hAnsi="Helvetica" w:cs="Helvetica"/>
          <w:i/>
          <w:color w:val="0A1B32"/>
          <w:sz w:val="27"/>
          <w:szCs w:val="27"/>
          <w:lang w:val="en-US" w:eastAsia="pl-PL"/>
        </w:rPr>
        <w:t>E</w:t>
      </w:r>
      <w:proofErr w:type="spellEnd"/>
      <w:r w:rsidRPr="007D4FCA">
        <w:rPr>
          <w:rFonts w:ascii="Helvetica" w:eastAsia="Times New Roman" w:hAnsi="Helvetica" w:cs="Helvetica"/>
          <w:i/>
          <w:color w:val="0A1B32"/>
          <w:sz w:val="27"/>
          <w:szCs w:val="27"/>
          <w:lang w:val="en-US" w:eastAsia="pl-PL"/>
        </w:rPr>
        <w:t xml:space="preserve"> [V(JS, t) </w:t>
      </w: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 xml:space="preserve"> V(S, t)] </w:t>
      </w: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 xml:space="preserve"> </w:t>
      </w:r>
      <w:r w:rsidRPr="007D4FCA">
        <w:rPr>
          <w:rFonts w:ascii="Helvetica" w:eastAsia="Times New Roman" w:hAnsi="Helvetica" w:cs="Helvetica" w:hint="eastAsia"/>
          <w:i/>
          <w:color w:val="0A1B32"/>
          <w:sz w:val="27"/>
          <w:szCs w:val="27"/>
          <w:lang w:val="en-US" w:eastAsia="pl-PL"/>
        </w:rPr>
        <w:t>λ</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V</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S</w:t>
      </w:r>
    </w:p>
    <w:p w:rsid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 xml:space="preserve">SE [J </w:t>
      </w: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 xml:space="preserve"> 1] = 0.</w:t>
      </w:r>
    </w:p>
    <w:p w:rsidR="0013613F" w:rsidRPr="007D4FCA" w:rsidRDefault="0013613F"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p>
    <w:p w:rsidR="0013613F" w:rsidRDefault="007D4FCA" w:rsidP="0013613F">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E[</w:t>
      </w: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 is the expectati</w:t>
      </w:r>
      <w:r w:rsidR="0013613F">
        <w:rPr>
          <w:rFonts w:ascii="Helvetica" w:eastAsia="Times New Roman" w:hAnsi="Helvetica" w:cs="Helvetica"/>
          <w:i/>
          <w:color w:val="0A1B32"/>
          <w:sz w:val="27"/>
          <w:szCs w:val="27"/>
          <w:lang w:val="en-US" w:eastAsia="pl-PL"/>
        </w:rPr>
        <w:t xml:space="preserve">on taken over the jump size. In </w:t>
      </w:r>
      <w:r w:rsidRPr="007D4FCA">
        <w:rPr>
          <w:rFonts w:ascii="Helvetica" w:eastAsia="Times New Roman" w:hAnsi="Helvetica" w:cs="Helvetica"/>
          <w:i/>
          <w:color w:val="0A1B32"/>
          <w:sz w:val="27"/>
          <w:szCs w:val="27"/>
          <w:lang w:val="en-US" w:eastAsia="pl-PL"/>
        </w:rPr>
        <w:t>probability terms this e</w:t>
      </w:r>
      <w:r w:rsidR="0013613F">
        <w:rPr>
          <w:rFonts w:ascii="Helvetica" w:eastAsia="Times New Roman" w:hAnsi="Helvetica" w:cs="Helvetica"/>
          <w:i/>
          <w:color w:val="0A1B32"/>
          <w:sz w:val="27"/>
          <w:szCs w:val="27"/>
          <w:lang w:val="en-US" w:eastAsia="pl-PL"/>
        </w:rPr>
        <w:t xml:space="preserve">quation represents the expected </w:t>
      </w:r>
      <w:r w:rsidRPr="007D4FCA">
        <w:rPr>
          <w:rFonts w:ascii="Helvetica" w:eastAsia="Times New Roman" w:hAnsi="Helvetica" w:cs="Helvetica"/>
          <w:i/>
          <w:color w:val="0A1B32"/>
          <w:sz w:val="27"/>
          <w:szCs w:val="27"/>
          <w:lang w:val="en-US" w:eastAsia="pl-PL"/>
        </w:rPr>
        <w:t>value of the discounte</w:t>
      </w:r>
      <w:r w:rsidR="0013613F">
        <w:rPr>
          <w:rFonts w:ascii="Helvetica" w:eastAsia="Times New Roman" w:hAnsi="Helvetica" w:cs="Helvetica"/>
          <w:i/>
          <w:color w:val="0A1B32"/>
          <w:sz w:val="27"/>
          <w:szCs w:val="27"/>
          <w:lang w:val="en-US" w:eastAsia="pl-PL"/>
        </w:rPr>
        <w:t xml:space="preserve">d payoff. The expectation being </w:t>
      </w:r>
      <w:r w:rsidRPr="007D4FCA">
        <w:rPr>
          <w:rFonts w:ascii="Helvetica" w:eastAsia="Times New Roman" w:hAnsi="Helvetica" w:cs="Helvetica"/>
          <w:i/>
          <w:color w:val="0A1B32"/>
          <w:sz w:val="27"/>
          <w:szCs w:val="27"/>
          <w:lang w:val="en-US" w:eastAsia="pl-PL"/>
        </w:rPr>
        <w:t>over the risk-neutral measure for the diffusion but the</w:t>
      </w:r>
      <w:r w:rsidR="00BB7AD2">
        <w:rPr>
          <w:rFonts w:ascii="Helvetica" w:eastAsia="Times New Roman" w:hAnsi="Helvetica" w:cs="Helvetica"/>
          <w:i/>
          <w:color w:val="0A1B32"/>
          <w:sz w:val="27"/>
          <w:szCs w:val="27"/>
          <w:lang w:val="en-US" w:eastAsia="pl-PL"/>
        </w:rPr>
        <w:t xml:space="preserve"> </w:t>
      </w:r>
      <w:r w:rsidR="0013613F">
        <w:rPr>
          <w:rFonts w:ascii="Helvetica" w:eastAsia="Times New Roman" w:hAnsi="Helvetica" w:cs="Helvetica"/>
          <w:i/>
          <w:color w:val="0A1B32"/>
          <w:sz w:val="27"/>
          <w:szCs w:val="27"/>
          <w:lang w:val="en-US" w:eastAsia="pl-PL"/>
        </w:rPr>
        <w:t xml:space="preserve">real measure for the jumps. </w:t>
      </w:r>
      <w:r w:rsidRPr="007D4FCA">
        <w:rPr>
          <w:rFonts w:ascii="Helvetica" w:eastAsia="Times New Roman" w:hAnsi="Helvetica" w:cs="Helvetica"/>
          <w:i/>
          <w:color w:val="0A1B32"/>
          <w:sz w:val="27"/>
          <w:szCs w:val="27"/>
          <w:lang w:val="en-US" w:eastAsia="pl-PL"/>
        </w:rPr>
        <w:t xml:space="preserve">There is a simple solution </w:t>
      </w:r>
      <w:r w:rsidR="0013613F">
        <w:rPr>
          <w:rFonts w:ascii="Helvetica" w:eastAsia="Times New Roman" w:hAnsi="Helvetica" w:cs="Helvetica"/>
          <w:i/>
          <w:color w:val="0A1B32"/>
          <w:sz w:val="27"/>
          <w:szCs w:val="27"/>
          <w:lang w:val="en-US" w:eastAsia="pl-PL"/>
        </w:rPr>
        <w:t xml:space="preserve">of this equation in the special </w:t>
      </w:r>
      <w:r w:rsidRPr="007D4FCA">
        <w:rPr>
          <w:rFonts w:ascii="Helvetica" w:eastAsia="Times New Roman" w:hAnsi="Helvetica" w:cs="Helvetica"/>
          <w:i/>
          <w:color w:val="0A1B32"/>
          <w:sz w:val="27"/>
          <w:szCs w:val="27"/>
          <w:lang w:val="en-US" w:eastAsia="pl-PL"/>
        </w:rPr>
        <w:t xml:space="preserve">case that the logarithm of J is Normally distributed. </w:t>
      </w:r>
    </w:p>
    <w:p w:rsidR="007D4FCA" w:rsidRPr="007D4FCA" w:rsidRDefault="007D4FCA" w:rsidP="0013613F">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If the logarithm of J is Nor</w:t>
      </w:r>
      <w:r w:rsidR="0013613F">
        <w:rPr>
          <w:rFonts w:ascii="Helvetica" w:eastAsia="Times New Roman" w:hAnsi="Helvetica" w:cs="Helvetica"/>
          <w:i/>
          <w:color w:val="0A1B32"/>
          <w:sz w:val="27"/>
          <w:szCs w:val="27"/>
          <w:lang w:val="en-US" w:eastAsia="pl-PL"/>
        </w:rPr>
        <w:t xml:space="preserve">mally distributed with standard </w:t>
      </w:r>
      <w:r w:rsidRPr="007D4FCA">
        <w:rPr>
          <w:rFonts w:ascii="Helvetica" w:eastAsia="Times New Roman" w:hAnsi="Helvetica" w:cs="Helvetica"/>
          <w:i/>
          <w:color w:val="0A1B32"/>
          <w:sz w:val="27"/>
          <w:szCs w:val="27"/>
          <w:lang w:val="en-US" w:eastAsia="pl-PL"/>
        </w:rPr>
        <w:t xml:space="preserve">deviation </w:t>
      </w:r>
      <w:r w:rsidRPr="007D4FCA">
        <w:rPr>
          <w:rFonts w:ascii="Helvetica" w:eastAsia="Times New Roman" w:hAnsi="Helvetica" w:cs="Helvetica" w:hint="eastAsia"/>
          <w:i/>
          <w:color w:val="0A1B32"/>
          <w:sz w:val="27"/>
          <w:szCs w:val="27"/>
          <w:lang w:val="en-US" w:eastAsia="pl-PL"/>
        </w:rPr>
        <w:t>σ</w:t>
      </w:r>
      <w:r w:rsidR="00BB7AD2">
        <w:rPr>
          <w:rFonts w:ascii="Helvetica" w:eastAsia="Times New Roman" w:hAnsi="Helvetica" w:cs="Helvetica"/>
          <w:i/>
          <w:color w:val="0A1B32"/>
          <w:sz w:val="27"/>
          <w:szCs w:val="27"/>
          <w:lang w:val="en-US" w:eastAsia="pl-PL"/>
        </w:rPr>
        <w:t xml:space="preserve"> </w:t>
      </w:r>
      <w:r w:rsidR="0013613F">
        <w:rPr>
          <w:rFonts w:ascii="Helvetica" w:eastAsia="Times New Roman" w:hAnsi="Helvetica" w:cs="Helvetica"/>
          <w:i/>
          <w:color w:val="0A1B32"/>
          <w:sz w:val="27"/>
          <w:szCs w:val="27"/>
          <w:lang w:val="en-US" w:eastAsia="pl-PL"/>
        </w:rPr>
        <w:t xml:space="preserve">and if we write </w:t>
      </w:r>
      <w:r w:rsidRPr="007D4FCA">
        <w:rPr>
          <w:rFonts w:ascii="Helvetica" w:eastAsia="Times New Roman" w:hAnsi="Helvetica" w:cs="Helvetica"/>
          <w:i/>
          <w:color w:val="0A1B32"/>
          <w:sz w:val="27"/>
          <w:szCs w:val="27"/>
          <w:lang w:val="en-US" w:eastAsia="pl-PL"/>
        </w:rPr>
        <w:t xml:space="preserve">k = E[J </w:t>
      </w: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 xml:space="preserve"> </w:t>
      </w:r>
      <w:r w:rsidR="0013613F">
        <w:rPr>
          <w:rFonts w:ascii="Helvetica" w:eastAsia="Times New Roman" w:hAnsi="Helvetica" w:cs="Helvetica"/>
          <w:i/>
          <w:color w:val="0A1B32"/>
          <w:sz w:val="27"/>
          <w:szCs w:val="27"/>
          <w:lang w:val="en-US" w:eastAsia="pl-PL"/>
        </w:rPr>
        <w:t xml:space="preserve">1] </w:t>
      </w:r>
      <w:r w:rsidRPr="007D4FCA">
        <w:rPr>
          <w:rFonts w:ascii="Helvetica" w:eastAsia="Times New Roman" w:hAnsi="Helvetica" w:cs="Helvetica"/>
          <w:i/>
          <w:color w:val="0A1B32"/>
          <w:sz w:val="27"/>
          <w:szCs w:val="27"/>
          <w:lang w:val="en-US" w:eastAsia="pl-PL"/>
        </w:rPr>
        <w:t>then the price of a Eur</w:t>
      </w:r>
      <w:r w:rsidR="0013613F">
        <w:rPr>
          <w:rFonts w:ascii="Helvetica" w:eastAsia="Times New Roman" w:hAnsi="Helvetica" w:cs="Helvetica"/>
          <w:i/>
          <w:color w:val="0A1B32"/>
          <w:sz w:val="27"/>
          <w:szCs w:val="27"/>
          <w:lang w:val="en-US" w:eastAsia="pl-PL"/>
        </w:rPr>
        <w:t xml:space="preserve">opean non-path-dependent option </w:t>
      </w:r>
      <w:r w:rsidRPr="007D4FCA">
        <w:rPr>
          <w:rFonts w:ascii="Helvetica" w:eastAsia="Times New Roman" w:hAnsi="Helvetica" w:cs="Helvetica"/>
          <w:i/>
          <w:color w:val="0A1B32"/>
          <w:sz w:val="27"/>
          <w:szCs w:val="27"/>
          <w:lang w:val="en-US" w:eastAsia="pl-PL"/>
        </w:rPr>
        <w:t>can be written as</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_</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n=0</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1</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n!</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e</w:t>
      </w:r>
      <w:r w:rsidRPr="007D4FCA">
        <w:rPr>
          <w:rFonts w:ascii="Helvetica" w:eastAsia="Times New Roman" w:hAnsi="Helvetica" w:cs="Helvetica" w:hint="eastAsia"/>
          <w:i/>
          <w:color w:val="0A1B32"/>
          <w:sz w:val="27"/>
          <w:szCs w:val="27"/>
          <w:lang w:val="en-US" w:eastAsia="pl-PL"/>
        </w:rPr>
        <w:t>−λ</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ab/>
        <w:t>(T</w:t>
      </w: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t)(</w:t>
      </w:r>
      <w:r w:rsidRPr="007D4FCA">
        <w:rPr>
          <w:rFonts w:ascii="Helvetica" w:eastAsia="Times New Roman" w:hAnsi="Helvetica" w:cs="Helvetica" w:hint="eastAsia"/>
          <w:i/>
          <w:color w:val="0A1B32"/>
          <w:sz w:val="27"/>
          <w:szCs w:val="27"/>
          <w:lang w:val="en-US" w:eastAsia="pl-PL"/>
        </w:rPr>
        <w:t>λ</w:t>
      </w:r>
    </w:p>
    <w:p w:rsid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ab/>
        <w:t xml:space="preserve">(T </w:t>
      </w: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 xml:space="preserve"> t))</w:t>
      </w:r>
      <w:proofErr w:type="spellStart"/>
      <w:r w:rsidRPr="007D4FCA">
        <w:rPr>
          <w:rFonts w:ascii="Helvetica" w:eastAsia="Times New Roman" w:hAnsi="Helvetica" w:cs="Helvetica"/>
          <w:i/>
          <w:color w:val="0A1B32"/>
          <w:sz w:val="27"/>
          <w:szCs w:val="27"/>
          <w:lang w:val="en-US" w:eastAsia="pl-PL"/>
        </w:rPr>
        <w:t>nVBS</w:t>
      </w:r>
      <w:proofErr w:type="spellEnd"/>
      <w:r w:rsidRPr="007D4FCA">
        <w:rPr>
          <w:rFonts w:ascii="Helvetica" w:eastAsia="Times New Roman" w:hAnsi="Helvetica" w:cs="Helvetica"/>
          <w:i/>
          <w:color w:val="0A1B32"/>
          <w:sz w:val="27"/>
          <w:szCs w:val="27"/>
          <w:lang w:val="en-US" w:eastAsia="pl-PL"/>
        </w:rPr>
        <w:t xml:space="preserve">(S, t; </w:t>
      </w:r>
      <w:proofErr w:type="spellStart"/>
      <w:r w:rsidRPr="007D4FCA">
        <w:rPr>
          <w:rFonts w:ascii="Helvetica" w:eastAsia="Times New Roman" w:hAnsi="Helvetica" w:cs="Helvetica" w:hint="eastAsia"/>
          <w:i/>
          <w:color w:val="0A1B32"/>
          <w:sz w:val="27"/>
          <w:szCs w:val="27"/>
          <w:lang w:val="en-US" w:eastAsia="pl-PL"/>
        </w:rPr>
        <w:t>σ</w:t>
      </w:r>
      <w:r w:rsidRPr="007D4FCA">
        <w:rPr>
          <w:rFonts w:ascii="Helvetica" w:eastAsia="Times New Roman" w:hAnsi="Helvetica" w:cs="Helvetica"/>
          <w:i/>
          <w:color w:val="0A1B32"/>
          <w:sz w:val="27"/>
          <w:szCs w:val="27"/>
          <w:lang w:val="en-US" w:eastAsia="pl-PL"/>
        </w:rPr>
        <w:t>n</w:t>
      </w:r>
      <w:proofErr w:type="spellEnd"/>
      <w:r w:rsidRPr="007D4FCA">
        <w:rPr>
          <w:rFonts w:ascii="Helvetica" w:eastAsia="Times New Roman" w:hAnsi="Helvetica" w:cs="Helvetica"/>
          <w:i/>
          <w:color w:val="0A1B32"/>
          <w:sz w:val="27"/>
          <w:szCs w:val="27"/>
          <w:lang w:val="en-US" w:eastAsia="pl-PL"/>
        </w:rPr>
        <w:t xml:space="preserve">, </w:t>
      </w:r>
      <w:proofErr w:type="spellStart"/>
      <w:r w:rsidRPr="007D4FCA">
        <w:rPr>
          <w:rFonts w:ascii="Helvetica" w:eastAsia="Times New Roman" w:hAnsi="Helvetica" w:cs="Helvetica"/>
          <w:i/>
          <w:color w:val="0A1B32"/>
          <w:sz w:val="27"/>
          <w:szCs w:val="27"/>
          <w:lang w:val="en-US" w:eastAsia="pl-PL"/>
        </w:rPr>
        <w:t>rn</w:t>
      </w:r>
      <w:proofErr w:type="spellEnd"/>
      <w:r w:rsidRPr="007D4FCA">
        <w:rPr>
          <w:rFonts w:ascii="Helvetica" w:eastAsia="Times New Roman" w:hAnsi="Helvetica" w:cs="Helvetica"/>
          <w:i/>
          <w:color w:val="0A1B32"/>
          <w:sz w:val="27"/>
          <w:szCs w:val="27"/>
          <w:lang w:val="en-US" w:eastAsia="pl-PL"/>
        </w:rPr>
        <w:t>).</w:t>
      </w:r>
    </w:p>
    <w:p w:rsidR="0013613F" w:rsidRPr="007D4FCA" w:rsidRDefault="0013613F"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In the above</w:t>
      </w:r>
    </w:p>
    <w:p w:rsidR="0013613F" w:rsidRDefault="0013613F"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hint="eastAsia"/>
          <w:i/>
          <w:color w:val="0A1B32"/>
          <w:sz w:val="27"/>
          <w:szCs w:val="27"/>
          <w:lang w:val="en-US" w:eastAsia="pl-PL"/>
        </w:rPr>
        <w:t>λ</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ab/>
        <w:t xml:space="preserve"> = </w:t>
      </w:r>
      <w:r w:rsidRPr="007D4FCA">
        <w:rPr>
          <w:rFonts w:ascii="Helvetica" w:eastAsia="Times New Roman" w:hAnsi="Helvetica" w:cs="Helvetica" w:hint="eastAsia"/>
          <w:i/>
          <w:color w:val="0A1B32"/>
          <w:sz w:val="27"/>
          <w:szCs w:val="27"/>
          <w:lang w:val="en-US" w:eastAsia="pl-PL"/>
        </w:rPr>
        <w:t>λ</w:t>
      </w:r>
      <w:r w:rsidRPr="007D4FCA">
        <w:rPr>
          <w:rFonts w:ascii="Helvetica" w:eastAsia="Times New Roman" w:hAnsi="Helvetica" w:cs="Helvetica"/>
          <w:i/>
          <w:color w:val="0A1B32"/>
          <w:sz w:val="27"/>
          <w:szCs w:val="27"/>
          <w:lang w:val="en-US" w:eastAsia="pl-PL"/>
        </w:rPr>
        <w:t xml:space="preserve">(1 + k), </w:t>
      </w:r>
      <w:r w:rsidRPr="007D4FCA">
        <w:rPr>
          <w:rFonts w:ascii="Helvetica" w:eastAsia="Times New Roman" w:hAnsi="Helvetica" w:cs="Helvetica" w:hint="eastAsia"/>
          <w:i/>
          <w:color w:val="0A1B32"/>
          <w:sz w:val="27"/>
          <w:szCs w:val="27"/>
          <w:lang w:val="en-US" w:eastAsia="pl-PL"/>
        </w:rPr>
        <w:t>σ</w:t>
      </w:r>
      <w:r w:rsidRPr="007D4FCA">
        <w:rPr>
          <w:rFonts w:ascii="Helvetica" w:eastAsia="Times New Roman" w:hAnsi="Helvetica" w:cs="Helvetica"/>
          <w:i/>
          <w:color w:val="0A1B32"/>
          <w:sz w:val="27"/>
          <w:szCs w:val="27"/>
          <w:lang w:val="en-US" w:eastAsia="pl-PL"/>
        </w:rPr>
        <w:t>2</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n</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 xml:space="preserve">= </w:t>
      </w:r>
      <w:r w:rsidRPr="007D4FCA">
        <w:rPr>
          <w:rFonts w:ascii="Helvetica" w:eastAsia="Times New Roman" w:hAnsi="Helvetica" w:cs="Helvetica" w:hint="eastAsia"/>
          <w:i/>
          <w:color w:val="0A1B32"/>
          <w:sz w:val="27"/>
          <w:szCs w:val="27"/>
          <w:lang w:val="en-US" w:eastAsia="pl-PL"/>
        </w:rPr>
        <w:t>σ</w:t>
      </w:r>
      <w:r w:rsidRPr="007D4FCA">
        <w:rPr>
          <w:rFonts w:ascii="Helvetica" w:eastAsia="Times New Roman" w:hAnsi="Helvetica" w:cs="Helvetica"/>
          <w:i/>
          <w:color w:val="0A1B32"/>
          <w:sz w:val="27"/>
          <w:szCs w:val="27"/>
          <w:lang w:val="en-US" w:eastAsia="pl-PL"/>
        </w:rPr>
        <w:t xml:space="preserve">2 + </w:t>
      </w:r>
      <w:proofErr w:type="spellStart"/>
      <w:r w:rsidRPr="007D4FCA">
        <w:rPr>
          <w:rFonts w:ascii="Helvetica" w:eastAsia="Times New Roman" w:hAnsi="Helvetica" w:cs="Helvetica"/>
          <w:i/>
          <w:color w:val="0A1B32"/>
          <w:sz w:val="27"/>
          <w:szCs w:val="27"/>
          <w:lang w:val="en-US" w:eastAsia="pl-PL"/>
        </w:rPr>
        <w:t>n</w:t>
      </w:r>
      <w:r w:rsidRPr="007D4FCA">
        <w:rPr>
          <w:rFonts w:ascii="Helvetica" w:eastAsia="Times New Roman" w:hAnsi="Helvetica" w:cs="Helvetica" w:hint="eastAsia"/>
          <w:i/>
          <w:color w:val="0A1B32"/>
          <w:sz w:val="27"/>
          <w:szCs w:val="27"/>
          <w:lang w:val="en-US" w:eastAsia="pl-PL"/>
        </w:rPr>
        <w:t>σ</w:t>
      </w:r>
      <w:proofErr w:type="spellEnd"/>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ab/>
        <w:t>2</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 xml:space="preserve">T </w:t>
      </w: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 xml:space="preserve"> t</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and</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proofErr w:type="spellStart"/>
      <w:r w:rsidRPr="007D4FCA">
        <w:rPr>
          <w:rFonts w:ascii="Helvetica" w:eastAsia="Times New Roman" w:hAnsi="Helvetica" w:cs="Helvetica"/>
          <w:i/>
          <w:color w:val="0A1B32"/>
          <w:sz w:val="27"/>
          <w:szCs w:val="27"/>
          <w:lang w:val="en-US" w:eastAsia="pl-PL"/>
        </w:rPr>
        <w:t>rn</w:t>
      </w:r>
      <w:proofErr w:type="spellEnd"/>
      <w:r w:rsidRPr="007D4FCA">
        <w:rPr>
          <w:rFonts w:ascii="Helvetica" w:eastAsia="Times New Roman" w:hAnsi="Helvetica" w:cs="Helvetica"/>
          <w:i/>
          <w:color w:val="0A1B32"/>
          <w:sz w:val="27"/>
          <w:szCs w:val="27"/>
          <w:lang w:val="en-US" w:eastAsia="pl-PL"/>
        </w:rPr>
        <w:t xml:space="preserve"> = r </w:t>
      </w: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 xml:space="preserve"> </w:t>
      </w:r>
      <w:proofErr w:type="spellStart"/>
      <w:r w:rsidRPr="007D4FCA">
        <w:rPr>
          <w:rFonts w:ascii="Helvetica" w:eastAsia="Times New Roman" w:hAnsi="Helvetica" w:cs="Helvetica" w:hint="eastAsia"/>
          <w:i/>
          <w:color w:val="0A1B32"/>
          <w:sz w:val="27"/>
          <w:szCs w:val="27"/>
          <w:lang w:val="en-US" w:eastAsia="pl-PL"/>
        </w:rPr>
        <w:t>λ</w:t>
      </w:r>
      <w:r w:rsidRPr="007D4FCA">
        <w:rPr>
          <w:rFonts w:ascii="Helvetica" w:eastAsia="Times New Roman" w:hAnsi="Helvetica" w:cs="Helvetica"/>
          <w:i/>
          <w:color w:val="0A1B32"/>
          <w:sz w:val="27"/>
          <w:szCs w:val="27"/>
          <w:lang w:val="en-US" w:eastAsia="pl-PL"/>
        </w:rPr>
        <w:t>k</w:t>
      </w:r>
      <w:proofErr w:type="spellEnd"/>
      <w:r w:rsidRPr="007D4FCA">
        <w:rPr>
          <w:rFonts w:ascii="Helvetica" w:eastAsia="Times New Roman" w:hAnsi="Helvetica" w:cs="Helvetica"/>
          <w:i/>
          <w:color w:val="0A1B32"/>
          <w:sz w:val="27"/>
          <w:szCs w:val="27"/>
          <w:lang w:val="en-US" w:eastAsia="pl-PL"/>
        </w:rPr>
        <w:t xml:space="preserve"> + n ln(1 + k)</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 xml:space="preserve">T </w:t>
      </w:r>
      <w:r w:rsidRPr="007D4FCA">
        <w:rPr>
          <w:rFonts w:ascii="Helvetica" w:eastAsia="Times New Roman" w:hAnsi="Helvetica" w:cs="Helvetica" w:hint="eastAsia"/>
          <w:i/>
          <w:color w:val="0A1B32"/>
          <w:sz w:val="27"/>
          <w:szCs w:val="27"/>
          <w:lang w:val="en-US" w:eastAsia="pl-PL"/>
        </w:rPr>
        <w:t>−</w:t>
      </w:r>
      <w:r w:rsidRPr="007D4FCA">
        <w:rPr>
          <w:rFonts w:ascii="Helvetica" w:eastAsia="Times New Roman" w:hAnsi="Helvetica" w:cs="Helvetica"/>
          <w:i/>
          <w:color w:val="0A1B32"/>
          <w:sz w:val="27"/>
          <w:szCs w:val="27"/>
          <w:lang w:val="en-US" w:eastAsia="pl-PL"/>
        </w:rPr>
        <w:t xml:space="preserve"> t</w:t>
      </w:r>
    </w:p>
    <w:p w:rsidR="007D4FCA" w:rsidRPr="007D4FCA" w:rsidRDefault="007D4FCA" w:rsidP="007D4FCA">
      <w:pPr>
        <w:autoSpaceDE w:val="0"/>
        <w:autoSpaceDN w:val="0"/>
        <w:adjustRightInd w:val="0"/>
        <w:spacing w:after="0" w:line="240" w:lineRule="auto"/>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w:t>
      </w:r>
    </w:p>
    <w:p w:rsidR="007D4FCA" w:rsidRPr="007D4FCA" w:rsidRDefault="007D4FCA" w:rsidP="0013613F">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and VBS is the Black</w:t>
      </w:r>
      <w:r w:rsidR="0013613F">
        <w:rPr>
          <w:rFonts w:ascii="Helvetica" w:eastAsia="Times New Roman" w:hAnsi="Helvetica" w:cs="Helvetica"/>
          <w:i/>
          <w:color w:val="0A1B32"/>
          <w:sz w:val="27"/>
          <w:szCs w:val="27"/>
          <w:lang w:val="en-US" w:eastAsia="pl-PL"/>
        </w:rPr>
        <w:t xml:space="preserve">–Scholes formula for the option </w:t>
      </w:r>
      <w:r w:rsidRPr="007D4FCA">
        <w:rPr>
          <w:rFonts w:ascii="Helvetica" w:eastAsia="Times New Roman" w:hAnsi="Helvetica" w:cs="Helvetica"/>
          <w:i/>
          <w:color w:val="0A1B32"/>
          <w:sz w:val="27"/>
          <w:szCs w:val="27"/>
          <w:lang w:val="en-US" w:eastAsia="pl-PL"/>
        </w:rPr>
        <w:t xml:space="preserve">value in the absence of jumps. </w:t>
      </w:r>
      <w:r w:rsidR="0013613F">
        <w:rPr>
          <w:rFonts w:ascii="Helvetica" w:eastAsia="Times New Roman" w:hAnsi="Helvetica" w:cs="Helvetica"/>
          <w:i/>
          <w:color w:val="0A1B32"/>
          <w:sz w:val="27"/>
          <w:szCs w:val="27"/>
          <w:lang w:val="en-US" w:eastAsia="pl-PL"/>
        </w:rPr>
        <w:t xml:space="preserve">This formula can be interpreted </w:t>
      </w:r>
      <w:r w:rsidRPr="007D4FCA">
        <w:rPr>
          <w:rFonts w:ascii="Helvetica" w:eastAsia="Times New Roman" w:hAnsi="Helvetica" w:cs="Helvetica"/>
          <w:i/>
          <w:color w:val="0A1B32"/>
          <w:sz w:val="27"/>
          <w:szCs w:val="27"/>
          <w:lang w:val="en-US" w:eastAsia="pl-PL"/>
        </w:rPr>
        <w:t xml:space="preserve">as the sum of </w:t>
      </w:r>
      <w:r w:rsidR="0013613F">
        <w:rPr>
          <w:rFonts w:ascii="Helvetica" w:eastAsia="Times New Roman" w:hAnsi="Helvetica" w:cs="Helvetica"/>
          <w:i/>
          <w:color w:val="0A1B32"/>
          <w:sz w:val="27"/>
          <w:szCs w:val="27"/>
          <w:lang w:val="en-US" w:eastAsia="pl-PL"/>
        </w:rPr>
        <w:t xml:space="preserve">individual Black–Scholes values </w:t>
      </w:r>
      <w:r w:rsidRPr="007D4FCA">
        <w:rPr>
          <w:rFonts w:ascii="Helvetica" w:eastAsia="Times New Roman" w:hAnsi="Helvetica" w:cs="Helvetica"/>
          <w:i/>
          <w:color w:val="0A1B32"/>
          <w:sz w:val="27"/>
          <w:szCs w:val="27"/>
          <w:lang w:val="en-US" w:eastAsia="pl-PL"/>
        </w:rPr>
        <w:t>each of which assumes that there have been n jumps,</w:t>
      </w:r>
    </w:p>
    <w:p w:rsidR="007D4FCA" w:rsidRPr="007D4FCA" w:rsidRDefault="007D4FCA" w:rsidP="0013613F">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t>and they are weighted according to the</w:t>
      </w:r>
      <w:r w:rsidR="0013613F">
        <w:rPr>
          <w:rFonts w:ascii="Helvetica" w:eastAsia="Times New Roman" w:hAnsi="Helvetica" w:cs="Helvetica"/>
          <w:i/>
          <w:color w:val="0A1B32"/>
          <w:sz w:val="27"/>
          <w:szCs w:val="27"/>
          <w:lang w:val="en-US" w:eastAsia="pl-PL"/>
        </w:rPr>
        <w:t xml:space="preserve"> probability that </w:t>
      </w:r>
      <w:r w:rsidRPr="007D4FCA">
        <w:rPr>
          <w:rFonts w:ascii="Helvetica" w:eastAsia="Times New Roman" w:hAnsi="Helvetica" w:cs="Helvetica"/>
          <w:i/>
          <w:color w:val="0A1B32"/>
          <w:sz w:val="27"/>
          <w:szCs w:val="27"/>
          <w:lang w:val="en-US" w:eastAsia="pl-PL"/>
        </w:rPr>
        <w:t>there will have been n jumps before expiry. Jump-diffusion models</w:t>
      </w:r>
      <w:r w:rsidR="0013613F">
        <w:rPr>
          <w:rFonts w:ascii="Helvetica" w:eastAsia="Times New Roman" w:hAnsi="Helvetica" w:cs="Helvetica"/>
          <w:i/>
          <w:color w:val="0A1B32"/>
          <w:sz w:val="27"/>
          <w:szCs w:val="27"/>
          <w:lang w:val="en-US" w:eastAsia="pl-PL"/>
        </w:rPr>
        <w:t xml:space="preserve"> can do a good job of capturing </w:t>
      </w:r>
      <w:r w:rsidRPr="007D4FCA">
        <w:rPr>
          <w:rFonts w:ascii="Helvetica" w:eastAsia="Times New Roman" w:hAnsi="Helvetica" w:cs="Helvetica"/>
          <w:i/>
          <w:color w:val="0A1B32"/>
          <w:sz w:val="27"/>
          <w:szCs w:val="27"/>
          <w:lang w:val="en-US" w:eastAsia="pl-PL"/>
        </w:rPr>
        <w:t>steepness in volatility skews and smiles for short-dated</w:t>
      </w:r>
    </w:p>
    <w:p w:rsidR="007D4FCA" w:rsidRDefault="007D4FCA" w:rsidP="0013613F">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7D4FCA">
        <w:rPr>
          <w:rFonts w:ascii="Helvetica" w:eastAsia="Times New Roman" w:hAnsi="Helvetica" w:cs="Helvetica"/>
          <w:i/>
          <w:color w:val="0A1B32"/>
          <w:sz w:val="27"/>
          <w:szCs w:val="27"/>
          <w:lang w:val="en-US" w:eastAsia="pl-PL"/>
        </w:rPr>
        <w:lastRenderedPageBreak/>
        <w:t>option, something that o</w:t>
      </w:r>
      <w:r w:rsidR="0013613F">
        <w:rPr>
          <w:rFonts w:ascii="Helvetica" w:eastAsia="Times New Roman" w:hAnsi="Helvetica" w:cs="Helvetica"/>
          <w:i/>
          <w:color w:val="0A1B32"/>
          <w:sz w:val="27"/>
          <w:szCs w:val="27"/>
          <w:lang w:val="en-US" w:eastAsia="pl-PL"/>
        </w:rPr>
        <w:t xml:space="preserve">ther models, such as stochastic </w:t>
      </w:r>
      <w:r w:rsidRPr="007D4FCA">
        <w:rPr>
          <w:rFonts w:ascii="Helvetica" w:eastAsia="Times New Roman" w:hAnsi="Helvetica" w:cs="Helvetica"/>
          <w:i/>
          <w:color w:val="0A1B32"/>
          <w:sz w:val="27"/>
          <w:szCs w:val="27"/>
          <w:lang w:val="en-US" w:eastAsia="pl-PL"/>
        </w:rPr>
        <w:t>volatility, have difficulties in doing.</w:t>
      </w:r>
    </w:p>
    <w:p w:rsidR="00BB7AD2" w:rsidRPr="00754929" w:rsidRDefault="00BB7AD2" w:rsidP="0013613F">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30. Should you use implied standard deviation or historical deviation to forecast volatility? Explain your choice.</w:t>
      </w:r>
    </w:p>
    <w:p w:rsidR="00BB7AD2" w:rsidRPr="00754929" w:rsidRDefault="00BB7AD2" w:rsidP="00BB7AD2">
      <w:pPr>
        <w:jc w:val="both"/>
        <w:rPr>
          <w:rFonts w:ascii="Helvetica" w:eastAsia="Times New Roman" w:hAnsi="Helvetica" w:cs="Helvetica"/>
          <w:i/>
          <w:color w:val="0A1B32"/>
          <w:sz w:val="27"/>
          <w:szCs w:val="27"/>
          <w:lang w:val="en-US" w:eastAsia="pl-PL"/>
        </w:rPr>
      </w:pPr>
      <w:r w:rsidRPr="00BB7AD2">
        <w:rPr>
          <w:rFonts w:ascii="Helvetica" w:eastAsia="Times New Roman" w:hAnsi="Helvetica" w:cs="Helvetica"/>
          <w:i/>
          <w:color w:val="0A1B32"/>
          <w:sz w:val="27"/>
          <w:szCs w:val="27"/>
          <w:lang w:val="en-US" w:eastAsia="pl-PL"/>
        </w:rPr>
        <w:t xml:space="preserve">Implied volatility is a better gauge but it will contain a timer varying risk premium. Note that the implied volatility of options on the </w:t>
      </w:r>
      <w:r w:rsidR="005455BF">
        <w:rPr>
          <w:rFonts w:ascii="Helvetica" w:eastAsia="Times New Roman" w:hAnsi="Helvetica" w:cs="Helvetica"/>
          <w:i/>
          <w:color w:val="0A1B32"/>
          <w:sz w:val="27"/>
          <w:szCs w:val="27"/>
          <w:lang w:val="en-US" w:eastAsia="pl-PL"/>
        </w:rPr>
        <w:t>British pound were very hi prio</w:t>
      </w:r>
      <w:r w:rsidRPr="00BB7AD2">
        <w:rPr>
          <w:rFonts w:ascii="Helvetica" w:eastAsia="Times New Roman" w:hAnsi="Helvetica" w:cs="Helvetica"/>
          <w:i/>
          <w:color w:val="0A1B32"/>
          <w:sz w:val="27"/>
          <w:szCs w:val="27"/>
          <w:lang w:val="en-US" w:eastAsia="pl-PL"/>
        </w:rPr>
        <w:t>r</w:t>
      </w:r>
      <w:r w:rsidR="005455BF">
        <w:rPr>
          <w:rFonts w:ascii="Helvetica" w:eastAsia="Times New Roman" w:hAnsi="Helvetica" w:cs="Helvetica"/>
          <w:i/>
          <w:color w:val="0A1B32"/>
          <w:sz w:val="27"/>
          <w:szCs w:val="27"/>
          <w:lang w:val="en-US" w:eastAsia="pl-PL"/>
        </w:rPr>
        <w:t xml:space="preserve"> </w:t>
      </w:r>
      <w:r w:rsidRPr="00BB7AD2">
        <w:rPr>
          <w:rFonts w:ascii="Helvetica" w:eastAsia="Times New Roman" w:hAnsi="Helvetica" w:cs="Helvetica"/>
          <w:i/>
          <w:color w:val="0A1B32"/>
          <w:sz w:val="27"/>
          <w:szCs w:val="27"/>
          <w:lang w:val="en-US" w:eastAsia="pl-PL"/>
        </w:rPr>
        <w:t xml:space="preserve">to the </w:t>
      </w:r>
      <w:proofErr w:type="spellStart"/>
      <w:r w:rsidRPr="00BB7AD2">
        <w:rPr>
          <w:rFonts w:ascii="Helvetica" w:eastAsia="Times New Roman" w:hAnsi="Helvetica" w:cs="Helvetica"/>
          <w:i/>
          <w:color w:val="0A1B32"/>
          <w:sz w:val="27"/>
          <w:szCs w:val="27"/>
          <w:lang w:val="en-US" w:eastAsia="pl-PL"/>
        </w:rPr>
        <w:t>Brexit</w:t>
      </w:r>
      <w:proofErr w:type="spellEnd"/>
      <w:r w:rsidRPr="00BB7AD2">
        <w:rPr>
          <w:rFonts w:ascii="Helvetica" w:eastAsia="Times New Roman" w:hAnsi="Helvetica" w:cs="Helvetica"/>
          <w:i/>
          <w:color w:val="0A1B32"/>
          <w:sz w:val="27"/>
          <w:szCs w:val="27"/>
          <w:lang w:val="en-US" w:eastAsia="pl-PL"/>
        </w:rPr>
        <w:t xml:space="preserve"> vote even though the currency wasn't moving much. If you do use historical volatility it is most likely not constant. You may want to use </w:t>
      </w:r>
      <w:proofErr w:type="spellStart"/>
      <w:r w:rsidRPr="00BB7AD2">
        <w:rPr>
          <w:rFonts w:ascii="Helvetica" w:eastAsia="Times New Roman" w:hAnsi="Helvetica" w:cs="Helvetica"/>
          <w:i/>
          <w:color w:val="0A1B32"/>
          <w:sz w:val="27"/>
          <w:szCs w:val="27"/>
          <w:lang w:val="en-US" w:eastAsia="pl-PL"/>
        </w:rPr>
        <w:t>Gar</w:t>
      </w:r>
      <w:r w:rsidR="00F61CC3">
        <w:rPr>
          <w:rFonts w:ascii="Helvetica" w:eastAsia="Times New Roman" w:hAnsi="Helvetica" w:cs="Helvetica"/>
          <w:i/>
          <w:color w:val="0A1B32"/>
          <w:sz w:val="27"/>
          <w:szCs w:val="27"/>
          <w:lang w:val="en-US" w:eastAsia="pl-PL"/>
        </w:rPr>
        <w:t>ch</w:t>
      </w:r>
      <w:proofErr w:type="spellEnd"/>
      <w:r w:rsidR="00F61CC3">
        <w:rPr>
          <w:rFonts w:ascii="Helvetica" w:eastAsia="Times New Roman" w:hAnsi="Helvetica" w:cs="Helvetica"/>
          <w:i/>
          <w:color w:val="0A1B32"/>
          <w:sz w:val="27"/>
          <w:szCs w:val="27"/>
          <w:lang w:val="en-US" w:eastAsia="pl-PL"/>
        </w:rPr>
        <w:t xml:space="preserve"> modelling..  Implied volati</w:t>
      </w:r>
      <w:r w:rsidRPr="00BB7AD2">
        <w:rPr>
          <w:rFonts w:ascii="Helvetica" w:eastAsia="Times New Roman" w:hAnsi="Helvetica" w:cs="Helvetica"/>
          <w:i/>
          <w:color w:val="0A1B32"/>
          <w:sz w:val="27"/>
          <w:szCs w:val="27"/>
          <w:lang w:val="en-US" w:eastAsia="pl-PL"/>
        </w:rPr>
        <w:t>lity is Forward looking. Historical is backward looking</w:t>
      </w:r>
    </w:p>
    <w:p w:rsidR="00754929" w:rsidRPr="00754929" w:rsidRDefault="00754929" w:rsidP="00754929">
      <w:pPr>
        <w:spacing w:after="100" w:afterAutospacing="1" w:line="240" w:lineRule="auto"/>
        <w:outlineLvl w:val="2"/>
        <w:rPr>
          <w:rFonts w:ascii="Helvetica" w:eastAsia="Times New Roman" w:hAnsi="Helvetica" w:cs="Helvetica"/>
          <w:b/>
          <w:color w:val="0A1B32"/>
          <w:sz w:val="27"/>
          <w:szCs w:val="27"/>
          <w:lang w:val="en-US" w:eastAsia="pl-PL"/>
        </w:rPr>
      </w:pPr>
      <w:r w:rsidRPr="00922D64">
        <w:rPr>
          <w:rFonts w:ascii="Helvetica" w:eastAsia="Times New Roman" w:hAnsi="Helvetica" w:cs="Helvetica"/>
          <w:b/>
          <w:bCs/>
          <w:color w:val="0A1B32"/>
          <w:sz w:val="27"/>
          <w:szCs w:val="27"/>
          <w:lang w:val="en-US" w:eastAsia="pl-PL"/>
        </w:rPr>
        <w:t>Questions on hedging:</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31. What is delta hedging?</w:t>
      </w:r>
    </w:p>
    <w:p w:rsidR="0046008A" w:rsidRPr="006508E6" w:rsidRDefault="0046008A" w:rsidP="008524FE">
      <w:pPr>
        <w:autoSpaceDE w:val="0"/>
        <w:autoSpaceDN w:val="0"/>
        <w:adjustRightInd w:val="0"/>
        <w:spacing w:after="0" w:line="240" w:lineRule="auto"/>
        <w:jc w:val="both"/>
        <w:rPr>
          <w:rFonts w:ascii="Helvetica" w:eastAsia="Times New Roman" w:hAnsi="Helvetica" w:cs="Helvetica"/>
          <w:b/>
          <w:i/>
          <w:color w:val="0A1B32"/>
          <w:sz w:val="27"/>
          <w:szCs w:val="27"/>
          <w:lang w:val="en-US" w:eastAsia="pl-PL"/>
        </w:rPr>
      </w:pPr>
      <w:r w:rsidRPr="006508E6">
        <w:rPr>
          <w:rFonts w:ascii="Helvetica" w:eastAsia="Times New Roman" w:hAnsi="Helvetica" w:cs="Helvetica"/>
          <w:b/>
          <w:i/>
          <w:color w:val="0A1B32"/>
          <w:sz w:val="27"/>
          <w:szCs w:val="27"/>
          <w:lang w:val="en-US" w:eastAsia="pl-PL"/>
        </w:rPr>
        <w:t>Short Answer</w:t>
      </w:r>
    </w:p>
    <w:p w:rsidR="0046008A" w:rsidRPr="006508E6" w:rsidRDefault="0046008A" w:rsidP="008524FE">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6508E6">
        <w:rPr>
          <w:rFonts w:ascii="Helvetica" w:eastAsia="Times New Roman" w:hAnsi="Helvetica" w:cs="Helvetica"/>
          <w:i/>
          <w:color w:val="0A1B32"/>
          <w:sz w:val="27"/>
          <w:szCs w:val="27"/>
          <w:lang w:val="en-US" w:eastAsia="pl-PL"/>
        </w:rPr>
        <w:t>Dynamic hedging, or delt</w:t>
      </w:r>
      <w:r w:rsidR="008524FE">
        <w:rPr>
          <w:rFonts w:ascii="Helvetica" w:eastAsia="Times New Roman" w:hAnsi="Helvetica" w:cs="Helvetica"/>
          <w:i/>
          <w:color w:val="0A1B32"/>
          <w:sz w:val="27"/>
          <w:szCs w:val="27"/>
          <w:lang w:val="en-US" w:eastAsia="pl-PL"/>
        </w:rPr>
        <w:t xml:space="preserve">a hedging, means the continuous </w:t>
      </w:r>
      <w:r w:rsidRPr="006508E6">
        <w:rPr>
          <w:rFonts w:ascii="Helvetica" w:eastAsia="Times New Roman" w:hAnsi="Helvetica" w:cs="Helvetica"/>
          <w:i/>
          <w:color w:val="0A1B32"/>
          <w:sz w:val="27"/>
          <w:szCs w:val="27"/>
          <w:lang w:val="en-US" w:eastAsia="pl-PL"/>
        </w:rPr>
        <w:t>buying or selling of</w:t>
      </w:r>
      <w:r w:rsidR="008524FE">
        <w:rPr>
          <w:rFonts w:ascii="Helvetica" w:eastAsia="Times New Roman" w:hAnsi="Helvetica" w:cs="Helvetica"/>
          <w:i/>
          <w:color w:val="0A1B32"/>
          <w:sz w:val="27"/>
          <w:szCs w:val="27"/>
          <w:lang w:val="en-US" w:eastAsia="pl-PL"/>
        </w:rPr>
        <w:t xml:space="preserve"> the underlying asset according </w:t>
      </w:r>
      <w:r w:rsidRPr="006508E6">
        <w:rPr>
          <w:rFonts w:ascii="Helvetica" w:eastAsia="Times New Roman" w:hAnsi="Helvetica" w:cs="Helvetica"/>
          <w:i/>
          <w:color w:val="0A1B32"/>
          <w:sz w:val="27"/>
          <w:szCs w:val="27"/>
          <w:lang w:val="en-US" w:eastAsia="pl-PL"/>
        </w:rPr>
        <w:t>to some formula or algor</w:t>
      </w:r>
      <w:r w:rsidR="008524FE">
        <w:rPr>
          <w:rFonts w:ascii="Helvetica" w:eastAsia="Times New Roman" w:hAnsi="Helvetica" w:cs="Helvetica"/>
          <w:i/>
          <w:color w:val="0A1B32"/>
          <w:sz w:val="27"/>
          <w:szCs w:val="27"/>
          <w:lang w:val="en-US" w:eastAsia="pl-PL"/>
        </w:rPr>
        <w:t xml:space="preserve">ithm so that risk is eliminated </w:t>
      </w:r>
      <w:r w:rsidRPr="006508E6">
        <w:rPr>
          <w:rFonts w:ascii="Helvetica" w:eastAsia="Times New Roman" w:hAnsi="Helvetica" w:cs="Helvetica"/>
          <w:i/>
          <w:color w:val="0A1B32"/>
          <w:sz w:val="27"/>
          <w:szCs w:val="27"/>
          <w:lang w:val="en-US" w:eastAsia="pl-PL"/>
        </w:rPr>
        <w:t>from an option position</w:t>
      </w:r>
      <w:r w:rsidR="008524FE">
        <w:rPr>
          <w:rFonts w:ascii="Helvetica" w:eastAsia="Times New Roman" w:hAnsi="Helvetica" w:cs="Helvetica"/>
          <w:i/>
          <w:color w:val="0A1B32"/>
          <w:sz w:val="27"/>
          <w:szCs w:val="27"/>
          <w:lang w:val="en-US" w:eastAsia="pl-PL"/>
        </w:rPr>
        <w:t xml:space="preserve">. The key point in this is what </w:t>
      </w:r>
      <w:r w:rsidRPr="006508E6">
        <w:rPr>
          <w:rFonts w:ascii="Helvetica" w:eastAsia="Times New Roman" w:hAnsi="Helvetica" w:cs="Helvetica"/>
          <w:i/>
          <w:color w:val="0A1B32"/>
          <w:sz w:val="27"/>
          <w:szCs w:val="27"/>
          <w:lang w:val="en-US" w:eastAsia="pl-PL"/>
        </w:rPr>
        <w:t xml:space="preserve">formula do you use, </w:t>
      </w:r>
      <w:r w:rsidR="008524FE">
        <w:rPr>
          <w:rFonts w:ascii="Helvetica" w:eastAsia="Times New Roman" w:hAnsi="Helvetica" w:cs="Helvetica"/>
          <w:i/>
          <w:color w:val="0A1B32"/>
          <w:sz w:val="27"/>
          <w:szCs w:val="27"/>
          <w:lang w:val="en-US" w:eastAsia="pl-PL"/>
        </w:rPr>
        <w:t xml:space="preserve">and, given that in practice you </w:t>
      </w:r>
      <w:r w:rsidRPr="006508E6">
        <w:rPr>
          <w:rFonts w:ascii="Helvetica" w:eastAsia="Times New Roman" w:hAnsi="Helvetica" w:cs="Helvetica"/>
          <w:i/>
          <w:color w:val="0A1B32"/>
          <w:sz w:val="27"/>
          <w:szCs w:val="27"/>
          <w:lang w:val="en-US" w:eastAsia="pl-PL"/>
        </w:rPr>
        <w:t>can’t hedge continuously, how should you hedge discretely?</w:t>
      </w:r>
    </w:p>
    <w:p w:rsidR="0046008A" w:rsidRPr="006508E6" w:rsidRDefault="0046008A" w:rsidP="008524FE">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6508E6">
        <w:rPr>
          <w:rFonts w:ascii="Helvetica" w:eastAsia="Times New Roman" w:hAnsi="Helvetica" w:cs="Helvetica"/>
          <w:i/>
          <w:color w:val="0A1B32"/>
          <w:sz w:val="27"/>
          <w:szCs w:val="27"/>
          <w:lang w:val="en-US" w:eastAsia="pl-PL"/>
        </w:rPr>
        <w:t>First get you</w:t>
      </w:r>
      <w:r w:rsidR="008524FE">
        <w:rPr>
          <w:rFonts w:ascii="Helvetica" w:eastAsia="Times New Roman" w:hAnsi="Helvetica" w:cs="Helvetica"/>
          <w:i/>
          <w:color w:val="0A1B32"/>
          <w:sz w:val="27"/>
          <w:szCs w:val="27"/>
          <w:lang w:val="en-US" w:eastAsia="pl-PL"/>
        </w:rPr>
        <w:t xml:space="preserve">r delta correct, and this means </w:t>
      </w:r>
      <w:r w:rsidRPr="006508E6">
        <w:rPr>
          <w:rFonts w:ascii="Helvetica" w:eastAsia="Times New Roman" w:hAnsi="Helvetica" w:cs="Helvetica"/>
          <w:i/>
          <w:color w:val="0A1B32"/>
          <w:sz w:val="27"/>
          <w:szCs w:val="27"/>
          <w:lang w:val="en-US" w:eastAsia="pl-PL"/>
        </w:rPr>
        <w:t>use the correct formul</w:t>
      </w:r>
      <w:r w:rsidR="008524FE">
        <w:rPr>
          <w:rFonts w:ascii="Helvetica" w:eastAsia="Times New Roman" w:hAnsi="Helvetica" w:cs="Helvetica"/>
          <w:i/>
          <w:color w:val="0A1B32"/>
          <w:sz w:val="27"/>
          <w:szCs w:val="27"/>
          <w:lang w:val="en-US" w:eastAsia="pl-PL"/>
        </w:rPr>
        <w:t xml:space="preserve">a and estimates for parameters, </w:t>
      </w:r>
      <w:r w:rsidRPr="006508E6">
        <w:rPr>
          <w:rFonts w:ascii="Helvetica" w:eastAsia="Times New Roman" w:hAnsi="Helvetica" w:cs="Helvetica"/>
          <w:i/>
          <w:color w:val="0A1B32"/>
          <w:sz w:val="27"/>
          <w:szCs w:val="27"/>
          <w:lang w:val="en-US" w:eastAsia="pl-PL"/>
        </w:rPr>
        <w:t>such as volatility. Se</w:t>
      </w:r>
      <w:r w:rsidR="008524FE">
        <w:rPr>
          <w:rFonts w:ascii="Helvetica" w:eastAsia="Times New Roman" w:hAnsi="Helvetica" w:cs="Helvetica"/>
          <w:i/>
          <w:color w:val="0A1B32"/>
          <w:sz w:val="27"/>
          <w:szCs w:val="27"/>
          <w:lang w:val="en-US" w:eastAsia="pl-PL"/>
        </w:rPr>
        <w:t xml:space="preserve">cond decide when to hedge based </w:t>
      </w:r>
      <w:r w:rsidRPr="006508E6">
        <w:rPr>
          <w:rFonts w:ascii="Helvetica" w:eastAsia="Times New Roman" w:hAnsi="Helvetica" w:cs="Helvetica"/>
          <w:i/>
          <w:color w:val="0A1B32"/>
          <w:sz w:val="27"/>
          <w:szCs w:val="27"/>
          <w:lang w:val="en-US" w:eastAsia="pl-PL"/>
        </w:rPr>
        <w:t>on the conflicting desir</w:t>
      </w:r>
      <w:r w:rsidR="008524FE">
        <w:rPr>
          <w:rFonts w:ascii="Helvetica" w:eastAsia="Times New Roman" w:hAnsi="Helvetica" w:cs="Helvetica"/>
          <w:i/>
          <w:color w:val="0A1B32"/>
          <w:sz w:val="27"/>
          <w:szCs w:val="27"/>
          <w:lang w:val="en-US" w:eastAsia="pl-PL"/>
        </w:rPr>
        <w:t xml:space="preserve">es of wanting to hedge as often </w:t>
      </w:r>
      <w:r w:rsidRPr="006508E6">
        <w:rPr>
          <w:rFonts w:ascii="Helvetica" w:eastAsia="Times New Roman" w:hAnsi="Helvetica" w:cs="Helvetica"/>
          <w:i/>
          <w:color w:val="0A1B32"/>
          <w:sz w:val="27"/>
          <w:szCs w:val="27"/>
          <w:lang w:val="en-US" w:eastAsia="pl-PL"/>
        </w:rPr>
        <w:t>as possible to reduce risk, but as little as po</w:t>
      </w:r>
      <w:r w:rsidR="008524FE">
        <w:rPr>
          <w:rFonts w:ascii="Helvetica" w:eastAsia="Times New Roman" w:hAnsi="Helvetica" w:cs="Helvetica"/>
          <w:i/>
          <w:color w:val="0A1B32"/>
          <w:sz w:val="27"/>
          <w:szCs w:val="27"/>
          <w:lang w:val="en-US" w:eastAsia="pl-PL"/>
        </w:rPr>
        <w:t xml:space="preserve">ssible to </w:t>
      </w:r>
      <w:r w:rsidRPr="006508E6">
        <w:rPr>
          <w:rFonts w:ascii="Helvetica" w:eastAsia="Times New Roman" w:hAnsi="Helvetica" w:cs="Helvetica"/>
          <w:i/>
          <w:color w:val="0A1B32"/>
          <w:sz w:val="27"/>
          <w:szCs w:val="27"/>
          <w:lang w:val="en-US" w:eastAsia="pl-PL"/>
        </w:rPr>
        <w:t>reduce any costs associated with hedging.</w:t>
      </w:r>
    </w:p>
    <w:p w:rsidR="0046008A" w:rsidRPr="006508E6" w:rsidRDefault="0046008A" w:rsidP="008524FE">
      <w:pPr>
        <w:autoSpaceDE w:val="0"/>
        <w:autoSpaceDN w:val="0"/>
        <w:adjustRightInd w:val="0"/>
        <w:spacing w:after="0" w:line="240" w:lineRule="auto"/>
        <w:jc w:val="both"/>
        <w:rPr>
          <w:rFonts w:ascii="Helvetica" w:eastAsia="Times New Roman" w:hAnsi="Helvetica" w:cs="Helvetica"/>
          <w:b/>
          <w:i/>
          <w:color w:val="0A1B32"/>
          <w:sz w:val="27"/>
          <w:szCs w:val="27"/>
          <w:lang w:val="en-US" w:eastAsia="pl-PL"/>
        </w:rPr>
      </w:pPr>
      <w:r w:rsidRPr="006508E6">
        <w:rPr>
          <w:rFonts w:ascii="Helvetica" w:eastAsia="Times New Roman" w:hAnsi="Helvetica" w:cs="Helvetica"/>
          <w:b/>
          <w:i/>
          <w:color w:val="0A1B32"/>
          <w:sz w:val="27"/>
          <w:szCs w:val="27"/>
          <w:lang w:val="en-US" w:eastAsia="pl-PL"/>
        </w:rPr>
        <w:t>Example</w:t>
      </w:r>
    </w:p>
    <w:p w:rsidR="0046008A" w:rsidRPr="006508E6" w:rsidRDefault="0046008A" w:rsidP="008524FE">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6508E6">
        <w:rPr>
          <w:rFonts w:ascii="Helvetica" w:eastAsia="Times New Roman" w:hAnsi="Helvetica" w:cs="Helvetica"/>
          <w:i/>
          <w:color w:val="0A1B32"/>
          <w:sz w:val="27"/>
          <w:szCs w:val="27"/>
          <w:lang w:val="en-US" w:eastAsia="pl-PL"/>
        </w:rPr>
        <w:t xml:space="preserve">The implied volatility </w:t>
      </w:r>
      <w:r w:rsidR="008524FE">
        <w:rPr>
          <w:rFonts w:ascii="Helvetica" w:eastAsia="Times New Roman" w:hAnsi="Helvetica" w:cs="Helvetica"/>
          <w:i/>
          <w:color w:val="0A1B32"/>
          <w:sz w:val="27"/>
          <w:szCs w:val="27"/>
          <w:lang w:val="en-US" w:eastAsia="pl-PL"/>
        </w:rPr>
        <w:t xml:space="preserve">of a call option is 20% but you </w:t>
      </w:r>
      <w:r w:rsidRPr="006508E6">
        <w:rPr>
          <w:rFonts w:ascii="Helvetica" w:eastAsia="Times New Roman" w:hAnsi="Helvetica" w:cs="Helvetica"/>
          <w:i/>
          <w:color w:val="0A1B32"/>
          <w:sz w:val="27"/>
          <w:szCs w:val="27"/>
          <w:lang w:val="en-US" w:eastAsia="pl-PL"/>
        </w:rPr>
        <w:t>think that is cheap, volat</w:t>
      </w:r>
      <w:r w:rsidR="008524FE">
        <w:rPr>
          <w:rFonts w:ascii="Helvetica" w:eastAsia="Times New Roman" w:hAnsi="Helvetica" w:cs="Helvetica"/>
          <w:i/>
          <w:color w:val="0A1B32"/>
          <w:sz w:val="27"/>
          <w:szCs w:val="27"/>
          <w:lang w:val="en-US" w:eastAsia="pl-PL"/>
        </w:rPr>
        <w:t xml:space="preserve">ility is nearer 40%. Do you put </w:t>
      </w:r>
      <w:r w:rsidRPr="006508E6">
        <w:rPr>
          <w:rFonts w:ascii="Helvetica" w:eastAsia="Times New Roman" w:hAnsi="Helvetica" w:cs="Helvetica"/>
          <w:i/>
          <w:color w:val="0A1B32"/>
          <w:sz w:val="27"/>
          <w:szCs w:val="27"/>
          <w:lang w:val="en-US" w:eastAsia="pl-PL"/>
        </w:rPr>
        <w:t>20% or 40% into the de</w:t>
      </w:r>
      <w:r w:rsidR="008524FE">
        <w:rPr>
          <w:rFonts w:ascii="Helvetica" w:eastAsia="Times New Roman" w:hAnsi="Helvetica" w:cs="Helvetica"/>
          <w:i/>
          <w:color w:val="0A1B32"/>
          <w:sz w:val="27"/>
          <w:szCs w:val="27"/>
          <w:lang w:val="en-US" w:eastAsia="pl-PL"/>
        </w:rPr>
        <w:t xml:space="preserve">lta calculation? The stock then </w:t>
      </w:r>
      <w:r w:rsidRPr="006508E6">
        <w:rPr>
          <w:rFonts w:ascii="Helvetica" w:eastAsia="Times New Roman" w:hAnsi="Helvetica" w:cs="Helvetica"/>
          <w:i/>
          <w:color w:val="0A1B32"/>
          <w:sz w:val="27"/>
          <w:szCs w:val="27"/>
          <w:lang w:val="en-US" w:eastAsia="pl-PL"/>
        </w:rPr>
        <w:t>moves, should you rebalance, incurring some inevitable</w:t>
      </w:r>
    </w:p>
    <w:p w:rsidR="0046008A" w:rsidRPr="006508E6" w:rsidRDefault="0046008A" w:rsidP="008524FE">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6508E6">
        <w:rPr>
          <w:rFonts w:ascii="Helvetica" w:eastAsia="Times New Roman" w:hAnsi="Helvetica" w:cs="Helvetica"/>
          <w:i/>
          <w:color w:val="0A1B32"/>
          <w:sz w:val="27"/>
          <w:szCs w:val="27"/>
          <w:lang w:val="en-US" w:eastAsia="pl-PL"/>
        </w:rPr>
        <w:t>transactions costs, or wai</w:t>
      </w:r>
      <w:r w:rsidR="008524FE">
        <w:rPr>
          <w:rFonts w:ascii="Helvetica" w:eastAsia="Times New Roman" w:hAnsi="Helvetica" w:cs="Helvetica"/>
          <w:i/>
          <w:color w:val="0A1B32"/>
          <w:sz w:val="27"/>
          <w:szCs w:val="27"/>
          <w:lang w:val="en-US" w:eastAsia="pl-PL"/>
        </w:rPr>
        <w:t xml:space="preserve">t a bit longer while taking the </w:t>
      </w:r>
      <w:r w:rsidRPr="006508E6">
        <w:rPr>
          <w:rFonts w:ascii="Helvetica" w:eastAsia="Times New Roman" w:hAnsi="Helvetica" w:cs="Helvetica"/>
          <w:i/>
          <w:color w:val="0A1B32"/>
          <w:sz w:val="27"/>
          <w:szCs w:val="27"/>
          <w:lang w:val="en-US" w:eastAsia="pl-PL"/>
        </w:rPr>
        <w:t>risks of being unhedged?</w:t>
      </w:r>
    </w:p>
    <w:p w:rsidR="0046008A" w:rsidRPr="0046008A" w:rsidRDefault="0046008A" w:rsidP="0046008A">
      <w:pPr>
        <w:autoSpaceDE w:val="0"/>
        <w:autoSpaceDN w:val="0"/>
        <w:adjustRightInd w:val="0"/>
        <w:spacing w:after="0" w:line="240" w:lineRule="auto"/>
        <w:rPr>
          <w:rFonts w:ascii="Cheltenham-Bold" w:hAnsi="Cheltenham-Bold" w:cs="Cheltenham-Bold"/>
          <w:b/>
          <w:bCs/>
          <w:color w:val="231F20"/>
          <w:sz w:val="18"/>
          <w:szCs w:val="18"/>
          <w:lang w:val="en-US"/>
        </w:rPr>
      </w:pPr>
      <w:r w:rsidRPr="0046008A">
        <w:rPr>
          <w:rFonts w:ascii="Cheltenham-Bold" w:hAnsi="Cheltenham-Bold" w:cs="Cheltenham-Bold"/>
          <w:b/>
          <w:bCs/>
          <w:color w:val="231F20"/>
          <w:sz w:val="18"/>
          <w:szCs w:val="18"/>
          <w:lang w:val="en-US"/>
        </w:rPr>
        <w:t>Long Answer</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There are three issues, at least, here. First, what is the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correct delta? Second, if I don’t hedge very often how</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 xml:space="preserve">big is my risk? Third, when I do </w:t>
      </w:r>
      <w:proofErr w:type="spellStart"/>
      <w:r w:rsidRPr="0046008A">
        <w:rPr>
          <w:rFonts w:ascii="Cheltenham-Book" w:hAnsi="Cheltenham-Book" w:cs="Cheltenham-Book"/>
          <w:color w:val="231F20"/>
          <w:sz w:val="18"/>
          <w:szCs w:val="18"/>
          <w:lang w:val="en-US"/>
        </w:rPr>
        <w:t>rehedge</w:t>
      </w:r>
      <w:proofErr w:type="spellEnd"/>
      <w:r w:rsidRPr="0046008A">
        <w:rPr>
          <w:rFonts w:ascii="Cheltenham-Book" w:hAnsi="Cheltenham-Book" w:cs="Cheltenham-Book"/>
          <w:color w:val="231F20"/>
          <w:sz w:val="18"/>
          <w:szCs w:val="18"/>
          <w:lang w:val="en-US"/>
        </w:rPr>
        <w:t xml:space="preserve"> how big are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my transaction costs?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AshleyScriptMT" w:hAnsi="AshleyScriptMT" w:cs="AshleyScriptMT"/>
          <w:i/>
          <w:iCs/>
          <w:color w:val="231F20"/>
          <w:sz w:val="18"/>
          <w:szCs w:val="18"/>
          <w:lang w:val="en-US"/>
        </w:rPr>
        <w:t xml:space="preserve">What is the correct delta? </w:t>
      </w:r>
      <w:r w:rsidRPr="0046008A">
        <w:rPr>
          <w:rFonts w:ascii="Cheltenham-Book" w:hAnsi="Cheltenham-Book" w:cs="Cheltenham-Book"/>
          <w:color w:val="231F20"/>
          <w:sz w:val="18"/>
          <w:szCs w:val="18"/>
          <w:lang w:val="en-US"/>
        </w:rPr>
        <w:t>Let’s continue with the above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example, implied volatility 20% but you believe volatility</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will be 40%. Does 0.2 or 0.4 go into the Black–Scholes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delta calculation, or perhaps something else? First</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let me reassure you that you won’t theoretically lose money in either case (or even if you hedge using a</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volatility somewhere in the 20 to 40 range) as long as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you are right about the 40% and you hedge continuously.</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There will however be a big impact on your P&amp;L</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depending on which volatility you input.</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If you use the actual volatility of 40% then you are guaranteed</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to make a profit that is the difference between</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the Black–Scholes formula using 40% and the Black–</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lastRenderedPageBreak/>
        <w:t>Scholes formula using 20%.</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Italic" w:hAnsi="Cheltenham-BookItalic" w:cs="Cheltenham-BookItalic"/>
          <w:i/>
          <w:iCs/>
          <w:color w:val="231F20"/>
          <w:sz w:val="18"/>
          <w:szCs w:val="18"/>
          <w:lang w:val="en-US"/>
        </w:rPr>
        <w:t>V</w:t>
      </w:r>
      <w:r w:rsidRPr="0046008A">
        <w:rPr>
          <w:rFonts w:ascii="Cheltenham-Book" w:hAnsi="Cheltenham-Book" w:cs="Cheltenham-Book"/>
          <w:color w:val="231F20"/>
          <w:sz w:val="18"/>
          <w:szCs w:val="18"/>
          <w:lang w:val="en-US"/>
        </w:rPr>
        <w:t>(</w:t>
      </w:r>
      <w:r w:rsidRPr="0046008A">
        <w:rPr>
          <w:rFonts w:ascii="Cheltenham-BookItalic" w:hAnsi="Cheltenham-BookItalic" w:cs="Cheltenham-BookItalic"/>
          <w:i/>
          <w:iCs/>
          <w:color w:val="231F20"/>
          <w:sz w:val="18"/>
          <w:szCs w:val="18"/>
          <w:lang w:val="en-US"/>
        </w:rPr>
        <w:t>S</w:t>
      </w:r>
      <w:r w:rsidRPr="0046008A">
        <w:rPr>
          <w:rFonts w:ascii="Cheltenham-Book" w:hAnsi="Cheltenham-Book" w:cs="Cheltenham-Book"/>
          <w:color w:val="231F20"/>
          <w:sz w:val="18"/>
          <w:szCs w:val="18"/>
          <w:lang w:val="en-US"/>
        </w:rPr>
        <w:t xml:space="preserve">, </w:t>
      </w:r>
      <w:r w:rsidRPr="0046008A">
        <w:rPr>
          <w:rFonts w:ascii="Cheltenham-BookItalic" w:hAnsi="Cheltenham-BookItalic" w:cs="Cheltenham-BookItalic"/>
          <w:i/>
          <w:iCs/>
          <w:color w:val="231F20"/>
          <w:sz w:val="18"/>
          <w:szCs w:val="18"/>
          <w:lang w:val="en-US"/>
        </w:rPr>
        <w:t>t</w:t>
      </w:r>
      <w:r w:rsidRPr="0046008A">
        <w:rPr>
          <w:rFonts w:ascii="MTSY" w:eastAsia="MTSY" w:hAnsi="Cheltenham-Book" w:cs="MTSY"/>
          <w:color w:val="231F20"/>
          <w:sz w:val="18"/>
          <w:szCs w:val="18"/>
          <w:lang w:val="en-US"/>
        </w:rPr>
        <w:t xml:space="preserve">; </w:t>
      </w:r>
      <w:r>
        <w:rPr>
          <w:rFonts w:ascii="MTMI" w:eastAsia="MTMI" w:hAnsi="Cheltenham-Book" w:cs="MTMI" w:hint="eastAsia"/>
          <w:i/>
          <w:iCs/>
          <w:color w:val="231F20"/>
          <w:sz w:val="18"/>
          <w:szCs w:val="18"/>
        </w:rPr>
        <w:t>σ</w:t>
      </w:r>
      <w:r w:rsidRPr="0046008A">
        <w:rPr>
          <w:rFonts w:ascii="Cheltenham-Book" w:hAnsi="Cheltenham-Book" w:cs="Cheltenham-Book"/>
          <w:color w:val="231F20"/>
          <w:sz w:val="18"/>
          <w:szCs w:val="18"/>
          <w:lang w:val="en-US"/>
        </w:rPr>
        <w:t xml:space="preserve">) </w:t>
      </w:r>
      <w:r w:rsidRPr="0046008A">
        <w:rPr>
          <w:rFonts w:ascii="MS Gothic" w:eastAsia="MS Gothic" w:hAnsi="MS Gothic" w:cs="MS Gothic" w:hint="eastAsia"/>
          <w:color w:val="231F20"/>
          <w:sz w:val="18"/>
          <w:szCs w:val="18"/>
          <w:lang w:val="en-US"/>
        </w:rPr>
        <w:t>−</w:t>
      </w:r>
      <w:r w:rsidRPr="0046008A">
        <w:rPr>
          <w:rFonts w:ascii="MTSY" w:eastAsia="MTSY" w:hAnsi="Cheltenham-Book" w:cs="MTSY"/>
          <w:color w:val="231F20"/>
          <w:sz w:val="18"/>
          <w:szCs w:val="18"/>
          <w:lang w:val="en-US"/>
        </w:rPr>
        <w:t xml:space="preserve"> </w:t>
      </w:r>
      <w:r w:rsidRPr="0046008A">
        <w:rPr>
          <w:rFonts w:ascii="Cheltenham-BookItalic" w:hAnsi="Cheltenham-BookItalic" w:cs="Cheltenham-BookItalic"/>
          <w:i/>
          <w:iCs/>
          <w:color w:val="231F20"/>
          <w:sz w:val="18"/>
          <w:szCs w:val="18"/>
          <w:lang w:val="en-US"/>
        </w:rPr>
        <w:t>V</w:t>
      </w:r>
      <w:r w:rsidRPr="0046008A">
        <w:rPr>
          <w:rFonts w:ascii="Cheltenham-Book" w:hAnsi="Cheltenham-Book" w:cs="Cheltenham-Book"/>
          <w:color w:val="231F20"/>
          <w:sz w:val="18"/>
          <w:szCs w:val="18"/>
          <w:lang w:val="en-US"/>
        </w:rPr>
        <w:t>(</w:t>
      </w:r>
      <w:r w:rsidRPr="0046008A">
        <w:rPr>
          <w:rFonts w:ascii="Cheltenham-BookItalic" w:hAnsi="Cheltenham-BookItalic" w:cs="Cheltenham-BookItalic"/>
          <w:i/>
          <w:iCs/>
          <w:color w:val="231F20"/>
          <w:sz w:val="18"/>
          <w:szCs w:val="18"/>
          <w:lang w:val="en-US"/>
        </w:rPr>
        <w:t>S</w:t>
      </w:r>
      <w:r w:rsidRPr="0046008A">
        <w:rPr>
          <w:rFonts w:ascii="Cheltenham-Book" w:hAnsi="Cheltenham-Book" w:cs="Cheltenham-Book"/>
          <w:color w:val="231F20"/>
          <w:sz w:val="18"/>
          <w:szCs w:val="18"/>
          <w:lang w:val="en-US"/>
        </w:rPr>
        <w:t xml:space="preserve">, </w:t>
      </w:r>
      <w:r w:rsidRPr="0046008A">
        <w:rPr>
          <w:rFonts w:ascii="Cheltenham-BookItalic" w:hAnsi="Cheltenham-BookItalic" w:cs="Cheltenham-BookItalic"/>
          <w:i/>
          <w:iCs/>
          <w:color w:val="231F20"/>
          <w:sz w:val="18"/>
          <w:szCs w:val="18"/>
          <w:lang w:val="en-US"/>
        </w:rPr>
        <w:t>t</w:t>
      </w:r>
      <w:r w:rsidRPr="0046008A">
        <w:rPr>
          <w:rFonts w:ascii="MTSY" w:eastAsia="MTSY" w:hAnsi="Cheltenham-Book" w:cs="MTSY"/>
          <w:color w:val="231F20"/>
          <w:sz w:val="18"/>
          <w:szCs w:val="18"/>
          <w:lang w:val="en-US"/>
        </w:rPr>
        <w:t xml:space="preserve">; </w:t>
      </w:r>
      <w:r w:rsidRPr="0046008A">
        <w:rPr>
          <w:rFonts w:ascii="MTSY" w:eastAsia="MTSY" w:hAnsi="Cheltenham-Book" w:cs="MTSY" w:hint="eastAsia"/>
          <w:color w:val="231F20"/>
          <w:sz w:val="18"/>
          <w:szCs w:val="18"/>
          <w:lang w:val="en-US"/>
        </w:rPr>
        <w:t>˜</w:t>
      </w:r>
      <w:r>
        <w:rPr>
          <w:rFonts w:ascii="MTMI" w:eastAsia="MTMI" w:hAnsi="Cheltenham-Book" w:cs="MTMI" w:hint="eastAsia"/>
          <w:i/>
          <w:iCs/>
          <w:color w:val="231F20"/>
          <w:sz w:val="18"/>
          <w:szCs w:val="18"/>
        </w:rPr>
        <w:t>σ</w:t>
      </w:r>
      <w:r w:rsidRPr="0046008A">
        <w:rPr>
          <w:rFonts w:ascii="Cheltenham-Book" w:hAnsi="Cheltenham-Book" w:cs="Cheltenham-Book"/>
          <w:color w:val="231F20"/>
          <w:sz w:val="18"/>
          <w:szCs w:val="18"/>
          <w:lang w:val="en-US"/>
        </w:rPr>
        <w:t>),</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 xml:space="preserve">where </w:t>
      </w:r>
      <w:r w:rsidRPr="0046008A">
        <w:rPr>
          <w:rFonts w:ascii="Cheltenham-BookItalic" w:hAnsi="Cheltenham-BookItalic" w:cs="Cheltenham-BookItalic"/>
          <w:i/>
          <w:iCs/>
          <w:color w:val="231F20"/>
          <w:sz w:val="18"/>
          <w:szCs w:val="18"/>
          <w:lang w:val="en-US"/>
        </w:rPr>
        <w:t>V</w:t>
      </w:r>
      <w:r w:rsidRPr="0046008A">
        <w:rPr>
          <w:rFonts w:ascii="Cheltenham-Book" w:hAnsi="Cheltenham-Book" w:cs="Cheltenham-Book"/>
          <w:color w:val="231F20"/>
          <w:sz w:val="18"/>
          <w:szCs w:val="18"/>
          <w:lang w:val="en-US"/>
        </w:rPr>
        <w:t>(</w:t>
      </w:r>
      <w:r w:rsidRPr="0046008A">
        <w:rPr>
          <w:rFonts w:ascii="Cheltenham-BookItalic" w:hAnsi="Cheltenham-BookItalic" w:cs="Cheltenham-BookItalic"/>
          <w:i/>
          <w:iCs/>
          <w:color w:val="231F20"/>
          <w:sz w:val="18"/>
          <w:szCs w:val="18"/>
          <w:lang w:val="en-US"/>
        </w:rPr>
        <w:t>S</w:t>
      </w:r>
      <w:r w:rsidRPr="0046008A">
        <w:rPr>
          <w:rFonts w:ascii="Cheltenham-Book" w:hAnsi="Cheltenham-Book" w:cs="Cheltenham-Book"/>
          <w:color w:val="231F20"/>
          <w:sz w:val="18"/>
          <w:szCs w:val="18"/>
          <w:lang w:val="en-US"/>
        </w:rPr>
        <w:t xml:space="preserve">, </w:t>
      </w:r>
      <w:r w:rsidRPr="0046008A">
        <w:rPr>
          <w:rFonts w:ascii="Cheltenham-BookItalic" w:hAnsi="Cheltenham-BookItalic" w:cs="Cheltenham-BookItalic"/>
          <w:i/>
          <w:iCs/>
          <w:color w:val="231F20"/>
          <w:sz w:val="18"/>
          <w:szCs w:val="18"/>
          <w:lang w:val="en-US"/>
        </w:rPr>
        <w:t>t</w:t>
      </w:r>
      <w:r w:rsidRPr="0046008A">
        <w:rPr>
          <w:rFonts w:ascii="MTSY" w:eastAsia="MTSY" w:hAnsi="Cheltenham-Book" w:cs="MTSY"/>
          <w:color w:val="231F20"/>
          <w:sz w:val="18"/>
          <w:szCs w:val="18"/>
          <w:lang w:val="en-US"/>
        </w:rPr>
        <w:t xml:space="preserve">; </w:t>
      </w:r>
      <w:r>
        <w:rPr>
          <w:rFonts w:ascii="MTMI" w:eastAsia="MTMI" w:hAnsi="Cheltenham-Book" w:cs="MTMI" w:hint="eastAsia"/>
          <w:i/>
          <w:iCs/>
          <w:color w:val="231F20"/>
          <w:sz w:val="18"/>
          <w:szCs w:val="18"/>
        </w:rPr>
        <w:t>σ</w:t>
      </w:r>
      <w:r w:rsidRPr="0046008A">
        <w:rPr>
          <w:rFonts w:ascii="Cheltenham-Book" w:hAnsi="Cheltenham-Book" w:cs="Cheltenham-Book"/>
          <w:color w:val="231F20"/>
          <w:sz w:val="18"/>
          <w:szCs w:val="18"/>
          <w:lang w:val="en-US"/>
        </w:rPr>
        <w:t>) is the Black–Scholes formula for the call</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 xml:space="preserve">option and </w:t>
      </w:r>
      <w:r>
        <w:rPr>
          <w:rFonts w:ascii="MTMI" w:eastAsia="MTMI" w:hAnsi="Cheltenham-Book" w:cs="MTMI" w:hint="eastAsia"/>
          <w:i/>
          <w:iCs/>
          <w:color w:val="231F20"/>
          <w:sz w:val="18"/>
          <w:szCs w:val="18"/>
        </w:rPr>
        <w:t>σ</w:t>
      </w:r>
      <w:r w:rsidRPr="0046008A">
        <w:rPr>
          <w:rFonts w:ascii="MTMI" w:eastAsia="MTMI" w:hAnsi="Cheltenham-Book" w:cs="MTMI"/>
          <w:i/>
          <w:iCs/>
          <w:color w:val="231F20"/>
          <w:sz w:val="18"/>
          <w:szCs w:val="18"/>
          <w:lang w:val="en-US"/>
        </w:rPr>
        <w:t xml:space="preserve"> </w:t>
      </w:r>
      <w:r w:rsidRPr="0046008A">
        <w:rPr>
          <w:rFonts w:ascii="Cheltenham-Book" w:hAnsi="Cheltenham-Book" w:cs="Cheltenham-Book"/>
          <w:color w:val="231F20"/>
          <w:sz w:val="18"/>
          <w:szCs w:val="18"/>
          <w:lang w:val="en-US"/>
        </w:rPr>
        <w:t xml:space="preserve">denotes actual volatility and </w:t>
      </w:r>
      <w:r w:rsidRPr="0046008A">
        <w:rPr>
          <w:rFonts w:ascii="MTSY" w:eastAsia="MTSY" w:hAnsi="Cheltenham-Book" w:cs="MTSY" w:hint="eastAsia"/>
          <w:color w:val="231F20"/>
          <w:sz w:val="18"/>
          <w:szCs w:val="18"/>
          <w:lang w:val="en-US"/>
        </w:rPr>
        <w:t>˜</w:t>
      </w:r>
      <w:r>
        <w:rPr>
          <w:rFonts w:ascii="MTMI" w:eastAsia="MTMI" w:hAnsi="Cheltenham-Book" w:cs="MTMI" w:hint="eastAsia"/>
          <w:i/>
          <w:iCs/>
          <w:color w:val="231F20"/>
          <w:sz w:val="18"/>
          <w:szCs w:val="18"/>
        </w:rPr>
        <w:t>σ</w:t>
      </w:r>
      <w:r w:rsidRPr="0046008A">
        <w:rPr>
          <w:rFonts w:ascii="MTMI" w:eastAsia="MTMI" w:hAnsi="Cheltenham-Book" w:cs="MTMI"/>
          <w:i/>
          <w:iCs/>
          <w:color w:val="231F20"/>
          <w:sz w:val="18"/>
          <w:szCs w:val="18"/>
          <w:lang w:val="en-US"/>
        </w:rPr>
        <w:t xml:space="preserve"> </w:t>
      </w:r>
      <w:r w:rsidRPr="0046008A">
        <w:rPr>
          <w:rFonts w:ascii="Cheltenham-Book" w:hAnsi="Cheltenham-Book" w:cs="Cheltenham-Book"/>
          <w:color w:val="231F20"/>
          <w:sz w:val="18"/>
          <w:szCs w:val="18"/>
          <w:lang w:val="en-US"/>
        </w:rPr>
        <w:t>is implied</w:t>
      </w:r>
    </w:p>
    <w:p w:rsidR="0046008A" w:rsidRDefault="0046008A" w:rsidP="0046008A">
      <w:pPr>
        <w:spacing w:after="100" w:afterAutospacing="1" w:line="240" w:lineRule="auto"/>
        <w:rPr>
          <w:rFonts w:ascii="Cheltenham-Book" w:hAnsi="Cheltenham-Book" w:cs="Cheltenham-Book"/>
          <w:color w:val="231F20"/>
          <w:sz w:val="18"/>
          <w:szCs w:val="18"/>
        </w:rPr>
      </w:pPr>
      <w:r>
        <w:rPr>
          <w:rFonts w:ascii="Cheltenham-Book" w:hAnsi="Cheltenham-Book" w:cs="Cheltenham-Book"/>
          <w:color w:val="231F20"/>
          <w:sz w:val="18"/>
          <w:szCs w:val="18"/>
        </w:rPr>
        <w:t>volatility.</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That profit is realized in a stochastic manner, so that</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on a marked-to-market basis your profit will be random</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each day. This is not immediately obvious, nevertheless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it is the case that each day you make a random</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profit or loss, both equally likely, but by expiration your</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total profit is a guaranteed number that was known at</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the outset. Most traders dislike the potentially large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P&amp;L swings that you get by hedging using the forecast</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volatility that they hedge using implied volatility.</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When you hedge with implied volatility, even though</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it is wrong compared with your forecast, you will still</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make money. But in this case the profit each day is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non negative and smooth, so much nicer than when</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you hedge using forecast volatility. The downside is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that the final profit depends on the path taken by the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underlying. If the stock stays close to the strike then</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you will make a lot of money. If the stock goes quickly</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far into or out of the money then your profit will be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small. Hedging using implied volatility gives you a nice, smooth, monotonically increasing P&amp;L but at the cost of</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not knowing how much money you will make.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The profit each time step is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3"/>
          <w:szCs w:val="13"/>
          <w:lang w:val="en-US"/>
        </w:rPr>
      </w:pPr>
      <w:r w:rsidRPr="0046008A">
        <w:rPr>
          <w:rFonts w:ascii="Cheltenham-Book" w:hAnsi="Cheltenham-Book" w:cs="Cheltenham-Book"/>
          <w:color w:val="231F20"/>
          <w:sz w:val="13"/>
          <w:szCs w:val="13"/>
          <w:lang w:val="en-US"/>
        </w:rPr>
        <w:t>12</w:t>
      </w:r>
    </w:p>
    <w:p w:rsidR="0046008A" w:rsidRPr="0046008A" w:rsidRDefault="0046008A" w:rsidP="0046008A">
      <w:pPr>
        <w:autoSpaceDE w:val="0"/>
        <w:autoSpaceDN w:val="0"/>
        <w:adjustRightInd w:val="0"/>
        <w:spacing w:after="0" w:line="240" w:lineRule="auto"/>
        <w:rPr>
          <w:rFonts w:ascii="MTEX" w:hAnsi="MTEX" w:cs="MTEX"/>
          <w:color w:val="231F20"/>
          <w:sz w:val="18"/>
          <w:szCs w:val="18"/>
          <w:lang w:val="en-US"/>
        </w:rPr>
      </w:pPr>
      <w:r w:rsidRPr="0046008A">
        <w:rPr>
          <w:rFonts w:ascii="MTEX" w:hAnsi="MTEX" w:cs="MTEX"/>
          <w:color w:val="231F20"/>
          <w:sz w:val="18"/>
          <w:szCs w:val="18"/>
          <w:lang w:val="en-US"/>
        </w:rPr>
        <w:t>_</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3"/>
          <w:szCs w:val="13"/>
          <w:lang w:val="en-US"/>
        </w:rPr>
      </w:pPr>
      <w:r>
        <w:rPr>
          <w:rFonts w:ascii="MTMI" w:eastAsia="MTMI" w:hAnsi="Cheltenham-Book" w:cs="MTMI" w:hint="eastAsia"/>
          <w:i/>
          <w:iCs/>
          <w:color w:val="231F20"/>
          <w:sz w:val="18"/>
          <w:szCs w:val="18"/>
        </w:rPr>
        <w:t>σ</w:t>
      </w:r>
      <w:r w:rsidRPr="0046008A">
        <w:rPr>
          <w:rFonts w:ascii="Cheltenham-Book" w:hAnsi="Cheltenham-Book" w:cs="Cheltenham-Book"/>
          <w:color w:val="231F20"/>
          <w:sz w:val="13"/>
          <w:szCs w:val="13"/>
          <w:lang w:val="en-US"/>
        </w:rPr>
        <w:t xml:space="preserve">2 </w:t>
      </w:r>
      <w:r w:rsidRPr="0046008A">
        <w:rPr>
          <w:rFonts w:ascii="MS Gothic" w:eastAsia="MS Gothic" w:hAnsi="MS Gothic" w:cs="MS Gothic" w:hint="eastAsia"/>
          <w:color w:val="231F20"/>
          <w:sz w:val="18"/>
          <w:szCs w:val="18"/>
          <w:lang w:val="en-US"/>
        </w:rPr>
        <w:t>−</w:t>
      </w:r>
      <w:r w:rsidRPr="0046008A">
        <w:rPr>
          <w:rFonts w:ascii="MTSY" w:eastAsia="MTSY" w:hAnsi="Cheltenham-Book" w:cs="MTSY"/>
          <w:color w:val="231F20"/>
          <w:sz w:val="18"/>
          <w:szCs w:val="18"/>
          <w:lang w:val="en-US"/>
        </w:rPr>
        <w:t xml:space="preserve"> </w:t>
      </w:r>
      <w:r w:rsidRPr="0046008A">
        <w:rPr>
          <w:rFonts w:ascii="MTSY" w:eastAsia="MTSY" w:hAnsi="Cheltenham-Book" w:cs="MTSY" w:hint="eastAsia"/>
          <w:color w:val="231F20"/>
          <w:sz w:val="18"/>
          <w:szCs w:val="18"/>
          <w:lang w:val="en-US"/>
        </w:rPr>
        <w:t>˜</w:t>
      </w:r>
      <w:r>
        <w:rPr>
          <w:rFonts w:ascii="MTMI" w:eastAsia="MTMI" w:hAnsi="Cheltenham-Book" w:cs="MTMI" w:hint="eastAsia"/>
          <w:i/>
          <w:iCs/>
          <w:color w:val="231F20"/>
          <w:sz w:val="18"/>
          <w:szCs w:val="18"/>
        </w:rPr>
        <w:t>σ</w:t>
      </w:r>
      <w:r w:rsidRPr="0046008A">
        <w:rPr>
          <w:rFonts w:ascii="Cheltenham-Book" w:hAnsi="Cheltenham-Book" w:cs="Cheltenham-Book"/>
          <w:color w:val="231F20"/>
          <w:sz w:val="13"/>
          <w:szCs w:val="13"/>
          <w:lang w:val="en-US"/>
        </w:rPr>
        <w:t>2</w:t>
      </w:r>
    </w:p>
    <w:p w:rsidR="0046008A" w:rsidRPr="0046008A" w:rsidRDefault="0046008A" w:rsidP="0046008A">
      <w:pPr>
        <w:autoSpaceDE w:val="0"/>
        <w:autoSpaceDN w:val="0"/>
        <w:adjustRightInd w:val="0"/>
        <w:spacing w:after="0" w:line="240" w:lineRule="auto"/>
        <w:rPr>
          <w:rFonts w:ascii="MTEX" w:hAnsi="MTEX" w:cs="MTEX"/>
          <w:color w:val="231F20"/>
          <w:sz w:val="18"/>
          <w:szCs w:val="18"/>
          <w:lang w:val="en-US"/>
        </w:rPr>
      </w:pPr>
      <w:r w:rsidRPr="0046008A">
        <w:rPr>
          <w:rFonts w:ascii="MTEX" w:hAnsi="MTEX" w:cs="MTEX"/>
          <w:color w:val="231F20"/>
          <w:sz w:val="18"/>
          <w:szCs w:val="18"/>
          <w:lang w:val="en-US"/>
        </w:rPr>
        <w:t>_</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Italic" w:hAnsi="Cheltenham-BookItalic" w:cs="Cheltenham-BookItalic"/>
          <w:i/>
          <w:iCs/>
          <w:color w:val="231F20"/>
          <w:sz w:val="18"/>
          <w:szCs w:val="18"/>
          <w:lang w:val="en-US"/>
        </w:rPr>
        <w:t>S</w:t>
      </w:r>
      <w:r w:rsidRPr="0046008A">
        <w:rPr>
          <w:rFonts w:ascii="Cheltenham-Book" w:hAnsi="Cheltenham-Book" w:cs="Cheltenham-Book"/>
          <w:color w:val="231F20"/>
          <w:sz w:val="13"/>
          <w:szCs w:val="13"/>
          <w:lang w:val="en-US"/>
        </w:rPr>
        <w:t>2</w:t>
      </w:r>
      <w:r w:rsidRPr="0046008A">
        <w:rPr>
          <w:rFonts w:ascii="MTMI" w:eastAsia="MTMI" w:hAnsi="Cheltenham-Book" w:cs="MTMI"/>
          <w:i/>
          <w:iCs/>
          <w:color w:val="231F20"/>
          <w:sz w:val="18"/>
          <w:szCs w:val="18"/>
          <w:lang w:val="en-US"/>
        </w:rPr>
        <w:t>_</w:t>
      </w:r>
      <w:r w:rsidRPr="0046008A">
        <w:rPr>
          <w:rFonts w:ascii="Cheltenham-BookItalic" w:hAnsi="Cheltenham-BookItalic" w:cs="Cheltenham-BookItalic"/>
          <w:i/>
          <w:iCs/>
          <w:color w:val="231F20"/>
          <w:sz w:val="13"/>
          <w:szCs w:val="13"/>
          <w:lang w:val="en-US"/>
        </w:rPr>
        <w:t xml:space="preserve">i </w:t>
      </w:r>
      <w:proofErr w:type="spellStart"/>
      <w:r w:rsidRPr="0046008A">
        <w:rPr>
          <w:rFonts w:ascii="Cheltenham-BookItalic" w:hAnsi="Cheltenham-BookItalic" w:cs="Cheltenham-BookItalic"/>
          <w:i/>
          <w:iCs/>
          <w:color w:val="231F20"/>
          <w:sz w:val="18"/>
          <w:szCs w:val="18"/>
          <w:lang w:val="en-US"/>
        </w:rPr>
        <w:t>dt</w:t>
      </w:r>
      <w:proofErr w:type="spellEnd"/>
      <w:r w:rsidRPr="0046008A">
        <w:rPr>
          <w:rFonts w:ascii="Cheltenham-Book" w:hAnsi="Cheltenham-Book" w:cs="Cheltenham-Book"/>
          <w:color w:val="231F20"/>
          <w:sz w:val="18"/>
          <w:szCs w:val="18"/>
          <w:lang w:val="en-US"/>
        </w:rPr>
        <w:t>,</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 xml:space="preserve">where </w:t>
      </w:r>
      <w:r w:rsidRPr="0046008A">
        <w:rPr>
          <w:rFonts w:ascii="MTMI" w:eastAsia="MTMI" w:hAnsi="Cheltenham-Book" w:cs="MTMI"/>
          <w:i/>
          <w:iCs/>
          <w:color w:val="231F20"/>
          <w:sz w:val="18"/>
          <w:szCs w:val="18"/>
          <w:lang w:val="en-US"/>
        </w:rPr>
        <w:t>_</w:t>
      </w:r>
      <w:proofErr w:type="spellStart"/>
      <w:r w:rsidRPr="0046008A">
        <w:rPr>
          <w:rFonts w:ascii="Cheltenham-BookItalic" w:hAnsi="Cheltenham-BookItalic" w:cs="Cheltenham-BookItalic"/>
          <w:i/>
          <w:iCs/>
          <w:color w:val="231F20"/>
          <w:sz w:val="13"/>
          <w:szCs w:val="13"/>
          <w:lang w:val="en-US"/>
        </w:rPr>
        <w:t>i</w:t>
      </w:r>
      <w:proofErr w:type="spellEnd"/>
      <w:r w:rsidRPr="0046008A">
        <w:rPr>
          <w:rFonts w:ascii="Cheltenham-BookItalic" w:hAnsi="Cheltenham-BookItalic" w:cs="Cheltenham-BookItalic"/>
          <w:i/>
          <w:iCs/>
          <w:color w:val="231F20"/>
          <w:sz w:val="13"/>
          <w:szCs w:val="13"/>
          <w:lang w:val="en-US"/>
        </w:rPr>
        <w:t xml:space="preserve"> </w:t>
      </w:r>
      <w:r w:rsidRPr="0046008A">
        <w:rPr>
          <w:rFonts w:ascii="Cheltenham-Book" w:hAnsi="Cheltenham-Book" w:cs="Cheltenham-Book"/>
          <w:color w:val="231F20"/>
          <w:sz w:val="18"/>
          <w:szCs w:val="18"/>
          <w:lang w:val="en-US"/>
        </w:rPr>
        <w:t>is the Black–Scholes gamma using implied</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volatility. You can see from this expression that as long</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as actual volatility is greater than implied you will make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money from this hedging strategy. This means that you</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do not have to be all that accurate in your forecast of</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future actual volatility to make a profit.</w:t>
      </w:r>
      <w:r w:rsidRPr="0046008A">
        <w:rPr>
          <w:rFonts w:ascii="AshleyScriptMT" w:hAnsi="AshleyScriptMT" w:cs="AshleyScriptMT"/>
          <w:i/>
          <w:iCs/>
          <w:color w:val="231F20"/>
          <w:sz w:val="18"/>
          <w:szCs w:val="18"/>
          <w:lang w:val="en-US"/>
        </w:rPr>
        <w:t xml:space="preserve"> How big is my hedging error? </w:t>
      </w:r>
      <w:r w:rsidRPr="0046008A">
        <w:rPr>
          <w:rFonts w:ascii="Cheltenham-Book" w:hAnsi="Cheltenham-Book" w:cs="Cheltenham-Book"/>
          <w:color w:val="231F20"/>
          <w:sz w:val="18"/>
          <w:szCs w:val="18"/>
          <w:lang w:val="en-US"/>
        </w:rPr>
        <w:t>In practice you cannot hedge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continuously. The Black–Scholes model, and the above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analysis, requires continuous rebalancing or your position</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in the underlying. The impact of hedging discretely</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is quite easy to quantify.</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When you hedge you eliminate a linear exposure to the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movement in the underlying. Your exposure becomes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quadratic and depends on the gamma of your position.</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 xml:space="preserve">If we use </w:t>
      </w:r>
      <w:r>
        <w:rPr>
          <w:rFonts w:ascii="MTMI" w:eastAsia="MTMI" w:hAnsi="AshleyScriptMT" w:cs="MTMI" w:hint="eastAsia"/>
          <w:i/>
          <w:iCs/>
          <w:color w:val="231F20"/>
          <w:sz w:val="18"/>
          <w:szCs w:val="18"/>
        </w:rPr>
        <w:t>φ</w:t>
      </w:r>
      <w:r w:rsidRPr="0046008A">
        <w:rPr>
          <w:rFonts w:ascii="MTMI" w:eastAsia="MTMI" w:hAnsi="AshleyScriptMT" w:cs="MTMI"/>
          <w:i/>
          <w:iCs/>
          <w:color w:val="231F20"/>
          <w:sz w:val="18"/>
          <w:szCs w:val="18"/>
          <w:lang w:val="en-US"/>
        </w:rPr>
        <w:t xml:space="preserve"> </w:t>
      </w:r>
      <w:r w:rsidRPr="0046008A">
        <w:rPr>
          <w:rFonts w:ascii="Cheltenham-Book" w:hAnsi="Cheltenham-Book" w:cs="Cheltenham-Book"/>
          <w:color w:val="231F20"/>
          <w:sz w:val="18"/>
          <w:szCs w:val="18"/>
          <w:lang w:val="en-US"/>
        </w:rPr>
        <w:t>to denote a normally distributed random</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variable with mean of zero and variance one, then the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 xml:space="preserve">profit you make over a time step </w:t>
      </w:r>
      <w:proofErr w:type="spellStart"/>
      <w:r>
        <w:rPr>
          <w:rFonts w:ascii="MTMI" w:eastAsia="MTMI" w:hAnsi="AshleyScriptMT" w:cs="MTMI" w:hint="eastAsia"/>
          <w:i/>
          <w:iCs/>
          <w:color w:val="231F20"/>
          <w:sz w:val="18"/>
          <w:szCs w:val="18"/>
        </w:rPr>
        <w:t>δ</w:t>
      </w:r>
      <w:r w:rsidRPr="0046008A">
        <w:rPr>
          <w:rFonts w:ascii="Cheltenham-BookItalic" w:hAnsi="Cheltenham-BookItalic" w:cs="Cheltenham-BookItalic"/>
          <w:i/>
          <w:iCs/>
          <w:color w:val="231F20"/>
          <w:sz w:val="18"/>
          <w:szCs w:val="18"/>
          <w:lang w:val="en-US"/>
        </w:rPr>
        <w:t>t</w:t>
      </w:r>
      <w:proofErr w:type="spellEnd"/>
      <w:r w:rsidRPr="0046008A">
        <w:rPr>
          <w:rFonts w:ascii="Cheltenham-BookItalic" w:hAnsi="Cheltenham-BookItalic" w:cs="Cheltenham-BookItalic"/>
          <w:i/>
          <w:iCs/>
          <w:color w:val="231F20"/>
          <w:sz w:val="18"/>
          <w:szCs w:val="18"/>
          <w:lang w:val="en-US"/>
        </w:rPr>
        <w:t xml:space="preserve"> </w:t>
      </w:r>
      <w:r w:rsidRPr="0046008A">
        <w:rPr>
          <w:rFonts w:ascii="Cheltenham-Book" w:hAnsi="Cheltenham-Book" w:cs="Cheltenham-Book"/>
          <w:color w:val="231F20"/>
          <w:sz w:val="18"/>
          <w:szCs w:val="18"/>
          <w:lang w:val="en-US"/>
        </w:rPr>
        <w:t>due to the gamma</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is simply</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3"/>
          <w:szCs w:val="13"/>
          <w:lang w:val="en-US"/>
        </w:rPr>
      </w:pPr>
      <w:r w:rsidRPr="0046008A">
        <w:rPr>
          <w:rFonts w:ascii="Cheltenham-Book" w:hAnsi="Cheltenham-Book" w:cs="Cheltenham-Book"/>
          <w:color w:val="231F20"/>
          <w:sz w:val="13"/>
          <w:szCs w:val="13"/>
          <w:lang w:val="en-US"/>
        </w:rPr>
        <w:t>12</w:t>
      </w:r>
    </w:p>
    <w:p w:rsidR="0046008A" w:rsidRPr="0046008A" w:rsidRDefault="0046008A" w:rsidP="0046008A">
      <w:pPr>
        <w:autoSpaceDE w:val="0"/>
        <w:autoSpaceDN w:val="0"/>
        <w:adjustRightInd w:val="0"/>
        <w:spacing w:after="0" w:line="240" w:lineRule="auto"/>
        <w:rPr>
          <w:rFonts w:ascii="MTMI" w:eastAsia="MTMI" w:hAnsi="AshleyScriptMT" w:cs="MTMI"/>
          <w:i/>
          <w:iCs/>
          <w:color w:val="231F20"/>
          <w:sz w:val="18"/>
          <w:szCs w:val="18"/>
          <w:lang w:val="en-US"/>
        </w:rPr>
      </w:pPr>
      <w:r>
        <w:rPr>
          <w:rFonts w:ascii="MTMI" w:eastAsia="MTMI" w:hAnsi="AshleyScriptMT" w:cs="MTMI" w:hint="eastAsia"/>
          <w:i/>
          <w:iCs/>
          <w:color w:val="231F20"/>
          <w:sz w:val="18"/>
          <w:szCs w:val="18"/>
        </w:rPr>
        <w:t>σ</w:t>
      </w:r>
      <w:r w:rsidRPr="0046008A">
        <w:rPr>
          <w:rFonts w:ascii="Cheltenham-Book" w:hAnsi="Cheltenham-Book" w:cs="Cheltenham-Book"/>
          <w:color w:val="231F20"/>
          <w:sz w:val="13"/>
          <w:szCs w:val="13"/>
          <w:lang w:val="en-US"/>
        </w:rPr>
        <w:t>2</w:t>
      </w:r>
      <w:r w:rsidRPr="0046008A">
        <w:rPr>
          <w:rFonts w:ascii="Cheltenham-BookItalic" w:hAnsi="Cheltenham-BookItalic" w:cs="Cheltenham-BookItalic"/>
          <w:i/>
          <w:iCs/>
          <w:color w:val="231F20"/>
          <w:sz w:val="18"/>
          <w:szCs w:val="18"/>
          <w:lang w:val="en-US"/>
        </w:rPr>
        <w:t>S</w:t>
      </w:r>
      <w:r w:rsidRPr="0046008A">
        <w:rPr>
          <w:rFonts w:ascii="Cheltenham-Book" w:hAnsi="Cheltenham-Book" w:cs="Cheltenham-Book"/>
          <w:color w:val="231F20"/>
          <w:sz w:val="13"/>
          <w:szCs w:val="13"/>
          <w:lang w:val="en-US"/>
        </w:rPr>
        <w:t>2</w:t>
      </w:r>
      <w:r w:rsidRPr="0046008A">
        <w:rPr>
          <w:rFonts w:ascii="MTMI" w:eastAsia="MTMI" w:hAnsi="AshleyScriptMT" w:cs="MTMI"/>
          <w:i/>
          <w:iCs/>
          <w:color w:val="231F20"/>
          <w:sz w:val="18"/>
          <w:szCs w:val="18"/>
          <w:lang w:val="en-US"/>
        </w:rPr>
        <w:t xml:space="preserve">_ </w:t>
      </w:r>
      <w:proofErr w:type="spellStart"/>
      <w:r>
        <w:rPr>
          <w:rFonts w:ascii="MTMI" w:eastAsia="MTMI" w:hAnsi="AshleyScriptMT" w:cs="MTMI" w:hint="eastAsia"/>
          <w:i/>
          <w:iCs/>
          <w:color w:val="231F20"/>
          <w:sz w:val="18"/>
          <w:szCs w:val="18"/>
        </w:rPr>
        <w:t>δ</w:t>
      </w:r>
      <w:r w:rsidRPr="0046008A">
        <w:rPr>
          <w:rFonts w:ascii="Cheltenham-BookItalic" w:hAnsi="Cheltenham-BookItalic" w:cs="Cheltenham-BookItalic"/>
          <w:i/>
          <w:iCs/>
          <w:color w:val="231F20"/>
          <w:sz w:val="18"/>
          <w:szCs w:val="18"/>
          <w:lang w:val="en-US"/>
        </w:rPr>
        <w:t>t</w:t>
      </w:r>
      <w:proofErr w:type="spellEnd"/>
      <w:r w:rsidRPr="0046008A">
        <w:rPr>
          <w:rFonts w:ascii="Cheltenham-BookItalic" w:hAnsi="Cheltenham-BookItalic" w:cs="Cheltenham-BookItalic"/>
          <w:i/>
          <w:iCs/>
          <w:color w:val="231F20"/>
          <w:sz w:val="18"/>
          <w:szCs w:val="18"/>
          <w:lang w:val="en-US"/>
        </w:rPr>
        <w:t xml:space="preserve"> </w:t>
      </w:r>
      <w:r>
        <w:rPr>
          <w:rFonts w:ascii="MTMI" w:eastAsia="MTMI" w:hAnsi="AshleyScriptMT" w:cs="MTMI" w:hint="eastAsia"/>
          <w:i/>
          <w:iCs/>
          <w:color w:val="231F20"/>
          <w:sz w:val="18"/>
          <w:szCs w:val="18"/>
        </w:rPr>
        <w:t>φ</w:t>
      </w:r>
      <w:r w:rsidRPr="0046008A">
        <w:rPr>
          <w:rFonts w:ascii="Cheltenham-Book" w:hAnsi="Cheltenham-Book" w:cs="Cheltenham-Book"/>
          <w:color w:val="231F20"/>
          <w:sz w:val="13"/>
          <w:szCs w:val="13"/>
          <w:lang w:val="en-US"/>
        </w:rPr>
        <w:t>2</w:t>
      </w:r>
      <w:r w:rsidRPr="0046008A">
        <w:rPr>
          <w:rFonts w:ascii="MTMI" w:eastAsia="MTMI" w:hAnsi="AshleyScriptMT" w:cs="MTMI"/>
          <w:i/>
          <w:iCs/>
          <w:color w:val="231F20"/>
          <w:sz w:val="18"/>
          <w:szCs w:val="18"/>
          <w:lang w:val="en-US"/>
        </w:rPr>
        <w:t>.</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This is in an otherwise perfect Black–Scholes world.</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The only reason why this is not exactly a Black–Scholes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world is because we are hedging at discrete time intervals.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 xml:space="preserve">The Black–Scholes models prices in the </w:t>
      </w:r>
      <w:r w:rsidRPr="0046008A">
        <w:rPr>
          <w:rFonts w:ascii="Cheltenham-BookItalic" w:hAnsi="Cheltenham-BookItalic" w:cs="Cheltenham-BookItalic"/>
          <w:i/>
          <w:iCs/>
          <w:color w:val="231F20"/>
          <w:sz w:val="18"/>
          <w:szCs w:val="18"/>
          <w:lang w:val="en-US"/>
        </w:rPr>
        <w:t xml:space="preserve">expected </w:t>
      </w:r>
      <w:r w:rsidRPr="0046008A">
        <w:rPr>
          <w:rFonts w:ascii="Cheltenham-Book" w:hAnsi="Cheltenham-Book" w:cs="Cheltenham-Book"/>
          <w:color w:val="231F20"/>
          <w:sz w:val="18"/>
          <w:szCs w:val="18"/>
          <w:lang w:val="en-US"/>
        </w:rPr>
        <w:t>value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3"/>
          <w:szCs w:val="13"/>
          <w:lang w:val="en-US"/>
        </w:rPr>
      </w:pPr>
      <w:r w:rsidRPr="0046008A">
        <w:rPr>
          <w:rFonts w:ascii="Cheltenham-Book" w:hAnsi="Cheltenham-Book" w:cs="Cheltenham-Book"/>
          <w:color w:val="231F20"/>
          <w:sz w:val="18"/>
          <w:szCs w:val="18"/>
          <w:lang w:val="en-US"/>
        </w:rPr>
        <w:t xml:space="preserve">of this expression. You will recognize the </w:t>
      </w:r>
      <w:r w:rsidRPr="0046008A">
        <w:rPr>
          <w:rFonts w:ascii="Cheltenham-Book" w:hAnsi="Cheltenham-Book" w:cs="Cheltenham-Book"/>
          <w:color w:val="231F20"/>
          <w:sz w:val="13"/>
          <w:szCs w:val="13"/>
          <w:lang w:val="en-US"/>
        </w:rPr>
        <w:t>12</w:t>
      </w:r>
    </w:p>
    <w:p w:rsidR="0046008A" w:rsidRDefault="0046008A" w:rsidP="0046008A">
      <w:pPr>
        <w:autoSpaceDE w:val="0"/>
        <w:autoSpaceDN w:val="0"/>
        <w:adjustRightInd w:val="0"/>
        <w:spacing w:after="0" w:line="240" w:lineRule="auto"/>
        <w:rPr>
          <w:rFonts w:ascii="Cheltenham-Book" w:hAnsi="Cheltenham-Book" w:cs="Cheltenham-Book"/>
          <w:color w:val="231F20"/>
          <w:sz w:val="18"/>
          <w:szCs w:val="18"/>
        </w:rPr>
      </w:pPr>
      <w:r>
        <w:rPr>
          <w:rFonts w:ascii="MTMI" w:eastAsia="MTMI" w:hAnsi="AshleyScriptMT" w:cs="MTMI" w:hint="eastAsia"/>
          <w:i/>
          <w:iCs/>
          <w:color w:val="231F20"/>
          <w:sz w:val="18"/>
          <w:szCs w:val="18"/>
        </w:rPr>
        <w:t>σ</w:t>
      </w:r>
      <w:r>
        <w:rPr>
          <w:rFonts w:ascii="Cheltenham-Book" w:hAnsi="Cheltenham-Book" w:cs="Cheltenham-Book"/>
          <w:color w:val="231F20"/>
          <w:sz w:val="13"/>
          <w:szCs w:val="13"/>
        </w:rPr>
        <w:t>2</w:t>
      </w:r>
      <w:r>
        <w:rPr>
          <w:rFonts w:ascii="Cheltenham-BookItalic" w:hAnsi="Cheltenham-BookItalic" w:cs="Cheltenham-BookItalic"/>
          <w:i/>
          <w:iCs/>
          <w:color w:val="231F20"/>
          <w:sz w:val="18"/>
          <w:szCs w:val="18"/>
        </w:rPr>
        <w:t>S</w:t>
      </w:r>
      <w:r>
        <w:rPr>
          <w:rFonts w:ascii="Cheltenham-Book" w:hAnsi="Cheltenham-Book" w:cs="Cheltenham-Book"/>
          <w:color w:val="231F20"/>
          <w:sz w:val="13"/>
          <w:szCs w:val="13"/>
        </w:rPr>
        <w:t>2</w:t>
      </w:r>
      <w:r>
        <w:rPr>
          <w:rFonts w:ascii="MTMI" w:eastAsia="MTMI" w:hAnsi="AshleyScriptMT" w:cs="MTMI"/>
          <w:i/>
          <w:iCs/>
          <w:color w:val="231F20"/>
          <w:sz w:val="18"/>
          <w:szCs w:val="18"/>
        </w:rPr>
        <w:t xml:space="preserve">_ </w:t>
      </w:r>
      <w:r>
        <w:rPr>
          <w:rFonts w:ascii="Cheltenham-Book" w:hAnsi="Cheltenham-Book" w:cs="Cheltenham-Book"/>
          <w:color w:val="231F20"/>
          <w:sz w:val="18"/>
          <w:szCs w:val="18"/>
        </w:rPr>
        <w:t>from</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 xml:space="preserve">the Black–Scholes equation. So the </w:t>
      </w:r>
      <w:r w:rsidRPr="0046008A">
        <w:rPr>
          <w:rFonts w:ascii="Cheltenham-Bold" w:hAnsi="Cheltenham-Bold" w:cs="Cheltenham-Bold"/>
          <w:b/>
          <w:bCs/>
          <w:color w:val="231F20"/>
          <w:sz w:val="18"/>
          <w:szCs w:val="18"/>
          <w:lang w:val="en-US"/>
        </w:rPr>
        <w:t xml:space="preserve">hedging error </w:t>
      </w:r>
      <w:r w:rsidRPr="0046008A">
        <w:rPr>
          <w:rFonts w:ascii="Cheltenham-Book" w:hAnsi="Cheltenham-Book" w:cs="Cheltenham-Book"/>
          <w:color w:val="231F20"/>
          <w:sz w:val="18"/>
          <w:szCs w:val="18"/>
          <w:lang w:val="en-US"/>
        </w:rPr>
        <w:t>is simply</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3"/>
          <w:szCs w:val="13"/>
          <w:lang w:val="en-US"/>
        </w:rPr>
      </w:pPr>
      <w:r w:rsidRPr="0046008A">
        <w:rPr>
          <w:rFonts w:ascii="Cheltenham-Book" w:hAnsi="Cheltenham-Book" w:cs="Cheltenham-Book"/>
          <w:color w:val="231F20"/>
          <w:sz w:val="13"/>
          <w:szCs w:val="13"/>
          <w:lang w:val="en-US"/>
        </w:rPr>
        <w:t>12</w:t>
      </w:r>
    </w:p>
    <w:p w:rsidR="0046008A" w:rsidRPr="0046008A" w:rsidRDefault="0046008A" w:rsidP="0046008A">
      <w:pPr>
        <w:autoSpaceDE w:val="0"/>
        <w:autoSpaceDN w:val="0"/>
        <w:adjustRightInd w:val="0"/>
        <w:spacing w:after="0" w:line="240" w:lineRule="auto"/>
        <w:rPr>
          <w:rFonts w:ascii="MTMI" w:eastAsia="MTMI" w:hAnsi="Cheltenham-Book" w:cs="MTMI"/>
          <w:i/>
          <w:iCs/>
          <w:color w:val="231F20"/>
          <w:sz w:val="18"/>
          <w:szCs w:val="18"/>
          <w:lang w:val="en-US"/>
        </w:rPr>
      </w:pPr>
      <w:r>
        <w:rPr>
          <w:rFonts w:ascii="MTMI" w:eastAsia="MTMI" w:hAnsi="Cheltenham-Book" w:cs="MTMI" w:hint="eastAsia"/>
          <w:i/>
          <w:iCs/>
          <w:color w:val="231F20"/>
          <w:sz w:val="18"/>
          <w:szCs w:val="18"/>
        </w:rPr>
        <w:t>σ</w:t>
      </w:r>
      <w:r w:rsidRPr="0046008A">
        <w:rPr>
          <w:rFonts w:ascii="Cheltenham-Book" w:hAnsi="Cheltenham-Book" w:cs="Cheltenham-Book"/>
          <w:color w:val="231F20"/>
          <w:sz w:val="13"/>
          <w:szCs w:val="13"/>
          <w:lang w:val="en-US"/>
        </w:rPr>
        <w:t>2</w:t>
      </w:r>
      <w:r w:rsidRPr="0046008A">
        <w:rPr>
          <w:rFonts w:ascii="Cheltenham-BookItalic" w:hAnsi="Cheltenham-BookItalic" w:cs="Cheltenham-BookItalic"/>
          <w:i/>
          <w:iCs/>
          <w:color w:val="231F20"/>
          <w:sz w:val="18"/>
          <w:szCs w:val="18"/>
          <w:lang w:val="en-US"/>
        </w:rPr>
        <w:t>S</w:t>
      </w:r>
      <w:r w:rsidRPr="0046008A">
        <w:rPr>
          <w:rFonts w:ascii="Cheltenham-Book" w:hAnsi="Cheltenham-Book" w:cs="Cheltenham-Book"/>
          <w:color w:val="231F20"/>
          <w:sz w:val="13"/>
          <w:szCs w:val="13"/>
          <w:lang w:val="en-US"/>
        </w:rPr>
        <w:t>2</w:t>
      </w:r>
      <w:r w:rsidRPr="0046008A">
        <w:rPr>
          <w:rFonts w:ascii="MTMI" w:eastAsia="MTMI" w:hAnsi="Cheltenham-Book" w:cs="MTMI"/>
          <w:i/>
          <w:iCs/>
          <w:color w:val="231F20"/>
          <w:sz w:val="18"/>
          <w:szCs w:val="18"/>
          <w:lang w:val="en-US"/>
        </w:rPr>
        <w:t xml:space="preserve">_ </w:t>
      </w:r>
      <w:proofErr w:type="spellStart"/>
      <w:r>
        <w:rPr>
          <w:rFonts w:ascii="MTMI" w:eastAsia="MTMI" w:hAnsi="Cheltenham-Book" w:cs="MTMI" w:hint="eastAsia"/>
          <w:i/>
          <w:iCs/>
          <w:color w:val="231F20"/>
          <w:sz w:val="18"/>
          <w:szCs w:val="18"/>
        </w:rPr>
        <w:t>δ</w:t>
      </w:r>
      <w:r w:rsidRPr="0046008A">
        <w:rPr>
          <w:rFonts w:ascii="Cheltenham-BookItalic" w:hAnsi="Cheltenham-BookItalic" w:cs="Cheltenham-BookItalic"/>
          <w:i/>
          <w:iCs/>
          <w:color w:val="231F20"/>
          <w:sz w:val="18"/>
          <w:szCs w:val="18"/>
          <w:lang w:val="en-US"/>
        </w:rPr>
        <w:t>t</w:t>
      </w:r>
      <w:proofErr w:type="spellEnd"/>
      <w:r w:rsidRPr="0046008A">
        <w:rPr>
          <w:rFonts w:ascii="Cheltenham-BookItalic" w:hAnsi="Cheltenham-BookItalic" w:cs="Cheltenham-BookItalic"/>
          <w:i/>
          <w:iCs/>
          <w:color w:val="231F20"/>
          <w:sz w:val="18"/>
          <w:szCs w:val="18"/>
          <w:lang w:val="en-US"/>
        </w:rPr>
        <w:t xml:space="preserve"> </w:t>
      </w:r>
      <w:r w:rsidRPr="0046008A">
        <w:rPr>
          <w:rFonts w:ascii="Cheltenham-Book" w:hAnsi="Cheltenham-Book" w:cs="Cheltenham-Book"/>
          <w:color w:val="231F20"/>
          <w:sz w:val="18"/>
          <w:szCs w:val="18"/>
          <w:lang w:val="en-US"/>
        </w:rPr>
        <w:t>(</w:t>
      </w:r>
      <w:r>
        <w:rPr>
          <w:rFonts w:ascii="MTMI" w:eastAsia="MTMI" w:hAnsi="Cheltenham-Book" w:cs="MTMI" w:hint="eastAsia"/>
          <w:i/>
          <w:iCs/>
          <w:color w:val="231F20"/>
          <w:sz w:val="18"/>
          <w:szCs w:val="18"/>
        </w:rPr>
        <w:t>φ</w:t>
      </w:r>
      <w:r w:rsidRPr="0046008A">
        <w:rPr>
          <w:rFonts w:ascii="Cheltenham-Book" w:hAnsi="Cheltenham-Book" w:cs="Cheltenham-Book"/>
          <w:color w:val="231F20"/>
          <w:sz w:val="13"/>
          <w:szCs w:val="13"/>
          <w:lang w:val="en-US"/>
        </w:rPr>
        <w:t xml:space="preserve">2 </w:t>
      </w:r>
      <w:r w:rsidRPr="0046008A">
        <w:rPr>
          <w:rFonts w:ascii="MS Gothic" w:eastAsia="MS Gothic" w:hAnsi="MS Gothic" w:cs="MS Gothic" w:hint="eastAsia"/>
          <w:color w:val="231F20"/>
          <w:sz w:val="18"/>
          <w:szCs w:val="18"/>
          <w:lang w:val="en-US"/>
        </w:rPr>
        <w:t>−</w:t>
      </w:r>
      <w:r w:rsidRPr="0046008A">
        <w:rPr>
          <w:rFonts w:ascii="MTSY" w:eastAsia="MTSY" w:hAnsi="Cheltenham-Book" w:cs="MTSY"/>
          <w:color w:val="231F20"/>
          <w:sz w:val="18"/>
          <w:szCs w:val="18"/>
          <w:lang w:val="en-US"/>
        </w:rPr>
        <w:t xml:space="preserve"> </w:t>
      </w:r>
      <w:r w:rsidRPr="0046008A">
        <w:rPr>
          <w:rFonts w:ascii="Cheltenham-Book" w:hAnsi="Cheltenham-Book" w:cs="Cheltenham-Book"/>
          <w:color w:val="231F20"/>
          <w:sz w:val="18"/>
          <w:szCs w:val="18"/>
          <w:lang w:val="en-US"/>
        </w:rPr>
        <w:t>1)</w:t>
      </w:r>
      <w:r w:rsidRPr="0046008A">
        <w:rPr>
          <w:rFonts w:ascii="MTMI" w:eastAsia="MTMI" w:hAnsi="Cheltenham-Book" w:cs="MTMI"/>
          <w:i/>
          <w:iCs/>
          <w:color w:val="231F20"/>
          <w:sz w:val="18"/>
          <w:szCs w:val="18"/>
          <w:lang w:val="en-US"/>
        </w:rPr>
        <w:t>.</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This is how much you make or lose between each rebalancing.</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We can make several important observations about</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hedging error.</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MTSY" w:eastAsia="MTSY" w:hAnsi="Cheltenham-Book" w:cs="MTSY" w:hint="eastAsia"/>
          <w:color w:val="231F20"/>
          <w:sz w:val="16"/>
          <w:szCs w:val="16"/>
          <w:lang w:val="en-US"/>
        </w:rPr>
        <w:t>•</w:t>
      </w:r>
      <w:r w:rsidRPr="0046008A">
        <w:rPr>
          <w:rFonts w:ascii="MTSY" w:eastAsia="MTSY" w:hAnsi="Cheltenham-Book" w:cs="MTSY"/>
          <w:color w:val="231F20"/>
          <w:sz w:val="16"/>
          <w:szCs w:val="16"/>
          <w:lang w:val="en-US"/>
        </w:rPr>
        <w:t xml:space="preserve"> </w:t>
      </w:r>
      <w:r w:rsidRPr="0046008A">
        <w:rPr>
          <w:rFonts w:ascii="Cheltenham-Book" w:hAnsi="Cheltenham-Book" w:cs="Cheltenham-Book"/>
          <w:color w:val="231F20"/>
          <w:sz w:val="18"/>
          <w:szCs w:val="18"/>
          <w:lang w:val="en-US"/>
        </w:rPr>
        <w:t xml:space="preserve">It is large: it is </w:t>
      </w:r>
      <w:r w:rsidRPr="0046008A">
        <w:rPr>
          <w:rFonts w:ascii="Cheltenham-BookItalic" w:hAnsi="Cheltenham-BookItalic" w:cs="Cheltenham-BookItalic"/>
          <w:i/>
          <w:iCs/>
          <w:color w:val="231F20"/>
          <w:sz w:val="18"/>
          <w:szCs w:val="18"/>
          <w:lang w:val="en-US"/>
        </w:rPr>
        <w:t>O</w:t>
      </w:r>
      <w:r w:rsidRPr="0046008A">
        <w:rPr>
          <w:rFonts w:ascii="Cheltenham-Book" w:hAnsi="Cheltenham-Book" w:cs="Cheltenham-Book"/>
          <w:color w:val="231F20"/>
          <w:sz w:val="18"/>
          <w:szCs w:val="18"/>
          <w:lang w:val="en-US"/>
        </w:rPr>
        <w:t>(</w:t>
      </w:r>
      <w:proofErr w:type="spellStart"/>
      <w:r>
        <w:rPr>
          <w:rFonts w:ascii="MTMI" w:eastAsia="MTMI" w:hAnsi="Cheltenham-Book" w:cs="MTMI" w:hint="eastAsia"/>
          <w:i/>
          <w:iCs/>
          <w:color w:val="231F20"/>
          <w:sz w:val="18"/>
          <w:szCs w:val="18"/>
        </w:rPr>
        <w:t>δ</w:t>
      </w:r>
      <w:r w:rsidRPr="0046008A">
        <w:rPr>
          <w:rFonts w:ascii="Cheltenham-BookItalic" w:hAnsi="Cheltenham-BookItalic" w:cs="Cheltenham-BookItalic"/>
          <w:i/>
          <w:iCs/>
          <w:color w:val="231F20"/>
          <w:sz w:val="18"/>
          <w:szCs w:val="18"/>
          <w:lang w:val="en-US"/>
        </w:rPr>
        <w:t>t</w:t>
      </w:r>
      <w:proofErr w:type="spellEnd"/>
      <w:r w:rsidRPr="0046008A">
        <w:rPr>
          <w:rFonts w:ascii="Cheltenham-Book" w:hAnsi="Cheltenham-Book" w:cs="Cheltenham-Book"/>
          <w:color w:val="231F20"/>
          <w:sz w:val="18"/>
          <w:szCs w:val="18"/>
          <w:lang w:val="en-US"/>
        </w:rPr>
        <w:t>) which is the same order of</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lastRenderedPageBreak/>
        <w:t>magnitude as all other terms in the Black–Scholes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model. It is usually much bigger than interest</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received on the hedged option portfolio</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MTSY" w:eastAsia="MTSY" w:hAnsi="Cheltenham-Book" w:cs="MTSY" w:hint="eastAsia"/>
          <w:color w:val="231F20"/>
          <w:sz w:val="16"/>
          <w:szCs w:val="16"/>
          <w:lang w:val="en-US"/>
        </w:rPr>
        <w:t>•</w:t>
      </w:r>
      <w:r w:rsidRPr="0046008A">
        <w:rPr>
          <w:rFonts w:ascii="MTSY" w:eastAsia="MTSY" w:hAnsi="Cheltenham-Book" w:cs="MTSY"/>
          <w:color w:val="231F20"/>
          <w:sz w:val="16"/>
          <w:szCs w:val="16"/>
          <w:lang w:val="en-US"/>
        </w:rPr>
        <w:t xml:space="preserve"> </w:t>
      </w:r>
      <w:r w:rsidRPr="0046008A">
        <w:rPr>
          <w:rFonts w:ascii="Cheltenham-Book" w:hAnsi="Cheltenham-Book" w:cs="Cheltenham-Book"/>
          <w:color w:val="231F20"/>
          <w:sz w:val="18"/>
          <w:szCs w:val="18"/>
          <w:lang w:val="en-US"/>
        </w:rPr>
        <w:t>On average it is zero: hedging errors balance out</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MTSY" w:eastAsia="MTSY" w:hAnsi="Cheltenham-Book" w:cs="MTSY" w:hint="eastAsia"/>
          <w:color w:val="231F20"/>
          <w:sz w:val="16"/>
          <w:szCs w:val="16"/>
          <w:lang w:val="en-US"/>
        </w:rPr>
        <w:t>•</w:t>
      </w:r>
      <w:r w:rsidRPr="0046008A">
        <w:rPr>
          <w:rFonts w:ascii="MTSY" w:eastAsia="MTSY" w:hAnsi="Cheltenham-Book" w:cs="MTSY"/>
          <w:color w:val="231F20"/>
          <w:sz w:val="16"/>
          <w:szCs w:val="16"/>
          <w:lang w:val="en-US"/>
        </w:rPr>
        <w:t xml:space="preserve"> </w:t>
      </w:r>
      <w:r w:rsidRPr="0046008A">
        <w:rPr>
          <w:rFonts w:ascii="Cheltenham-Book" w:hAnsi="Cheltenham-Book" w:cs="Cheltenham-Book"/>
          <w:color w:val="231F20"/>
          <w:sz w:val="18"/>
          <w:szCs w:val="18"/>
          <w:lang w:val="en-US"/>
        </w:rPr>
        <w:t>It is path dependent: the larger gamma, the larger the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hedging errors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MTSY" w:eastAsia="MTSY" w:hAnsi="Cheltenham-Book" w:cs="MTSY" w:hint="eastAsia"/>
          <w:color w:val="231F20"/>
          <w:sz w:val="16"/>
          <w:szCs w:val="16"/>
          <w:lang w:val="en-US"/>
        </w:rPr>
        <w:t>•</w:t>
      </w:r>
      <w:r w:rsidRPr="0046008A">
        <w:rPr>
          <w:rFonts w:ascii="MTSY" w:eastAsia="MTSY" w:hAnsi="Cheltenham-Book" w:cs="MTSY"/>
          <w:color w:val="231F20"/>
          <w:sz w:val="16"/>
          <w:szCs w:val="16"/>
          <w:lang w:val="en-US"/>
        </w:rPr>
        <w:t xml:space="preserve"> </w:t>
      </w:r>
      <w:proofErr w:type="spellStart"/>
      <w:r w:rsidRPr="0046008A">
        <w:rPr>
          <w:rFonts w:ascii="Cheltenham-Book" w:hAnsi="Cheltenham-Book" w:cs="Cheltenham-Book"/>
          <w:color w:val="231F20"/>
          <w:sz w:val="18"/>
          <w:szCs w:val="18"/>
          <w:lang w:val="en-US"/>
        </w:rPr>
        <w:t>T</w:t>
      </w:r>
      <w:r w:rsidRPr="0046008A">
        <w:rPr>
          <w:rFonts w:ascii="MTSY" w:eastAsia="MTSY" w:hAnsi="Cheltenham-Book" w:cs="MTSY" w:hint="eastAsia"/>
          <w:color w:val="231F20"/>
          <w:sz w:val="18"/>
          <w:szCs w:val="18"/>
          <w:lang w:val="en-US"/>
        </w:rPr>
        <w:t>√</w:t>
      </w:r>
      <w:r w:rsidRPr="0046008A">
        <w:rPr>
          <w:rFonts w:ascii="Cheltenham-Book" w:hAnsi="Cheltenham-Book" w:cs="Cheltenham-Book"/>
          <w:color w:val="231F20"/>
          <w:sz w:val="18"/>
          <w:szCs w:val="18"/>
          <w:lang w:val="en-US"/>
        </w:rPr>
        <w:t>he</w:t>
      </w:r>
      <w:proofErr w:type="spellEnd"/>
      <w:r w:rsidRPr="0046008A">
        <w:rPr>
          <w:rFonts w:ascii="Cheltenham-Book" w:hAnsi="Cheltenham-Book" w:cs="Cheltenham-Book"/>
          <w:color w:val="231F20"/>
          <w:sz w:val="18"/>
          <w:szCs w:val="18"/>
          <w:lang w:val="en-US"/>
        </w:rPr>
        <w:t xml:space="preserve"> total hedging error has standard deviation of</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proofErr w:type="spellStart"/>
      <w:r>
        <w:rPr>
          <w:rFonts w:ascii="MTMI" w:eastAsia="MTMI" w:hAnsi="Cheltenham-Book" w:cs="MTMI" w:hint="eastAsia"/>
          <w:i/>
          <w:iCs/>
          <w:color w:val="231F20"/>
          <w:sz w:val="18"/>
          <w:szCs w:val="18"/>
        </w:rPr>
        <w:t>δ</w:t>
      </w:r>
      <w:r w:rsidRPr="0046008A">
        <w:rPr>
          <w:rFonts w:ascii="Cheltenham-BookItalic" w:hAnsi="Cheltenham-BookItalic" w:cs="Cheltenham-BookItalic"/>
          <w:i/>
          <w:iCs/>
          <w:color w:val="231F20"/>
          <w:sz w:val="18"/>
          <w:szCs w:val="18"/>
          <w:lang w:val="en-US"/>
        </w:rPr>
        <w:t>t</w:t>
      </w:r>
      <w:proofErr w:type="spellEnd"/>
      <w:r w:rsidRPr="0046008A">
        <w:rPr>
          <w:rFonts w:ascii="Cheltenham-Book" w:hAnsi="Cheltenham-Book" w:cs="Cheltenham-Book"/>
          <w:color w:val="231F20"/>
          <w:sz w:val="18"/>
          <w:szCs w:val="18"/>
          <w:lang w:val="en-US"/>
        </w:rPr>
        <w:t>: total hedging error is your final error when you</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get to expiration. If you want to halve the error you</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will have to hedge four times as often.</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MTSY" w:eastAsia="MTSY" w:hAnsi="Cheltenham-Book" w:cs="MTSY" w:hint="eastAsia"/>
          <w:color w:val="231F20"/>
          <w:sz w:val="16"/>
          <w:szCs w:val="16"/>
          <w:lang w:val="en-US"/>
        </w:rPr>
        <w:t>•</w:t>
      </w:r>
      <w:r w:rsidRPr="0046008A">
        <w:rPr>
          <w:rFonts w:ascii="MTSY" w:eastAsia="MTSY" w:hAnsi="Cheltenham-Book" w:cs="MTSY"/>
          <w:color w:val="231F20"/>
          <w:sz w:val="16"/>
          <w:szCs w:val="16"/>
          <w:lang w:val="en-US"/>
        </w:rPr>
        <w:t xml:space="preserve"> </w:t>
      </w:r>
      <w:r w:rsidRPr="0046008A">
        <w:rPr>
          <w:rFonts w:ascii="Cheltenham-Book" w:hAnsi="Cheltenham-Book" w:cs="Cheltenham-Book"/>
          <w:color w:val="231F20"/>
          <w:sz w:val="18"/>
          <w:szCs w:val="18"/>
          <w:lang w:val="en-US"/>
        </w:rPr>
        <w:t>Hedging error is drawn from a chi-square distribution:</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 xml:space="preserve">that’s what </w:t>
      </w:r>
      <w:r>
        <w:rPr>
          <w:rFonts w:ascii="MTMI" w:eastAsia="MTMI" w:hAnsi="Cheltenham-Book" w:cs="MTMI" w:hint="eastAsia"/>
          <w:i/>
          <w:iCs/>
          <w:color w:val="231F20"/>
          <w:sz w:val="18"/>
          <w:szCs w:val="18"/>
        </w:rPr>
        <w:t>φ</w:t>
      </w:r>
      <w:r w:rsidRPr="0046008A">
        <w:rPr>
          <w:rFonts w:ascii="Cheltenham-Book" w:hAnsi="Cheltenham-Book" w:cs="Cheltenham-Book"/>
          <w:color w:val="231F20"/>
          <w:sz w:val="13"/>
          <w:szCs w:val="13"/>
          <w:lang w:val="en-US"/>
        </w:rPr>
        <w:t xml:space="preserve">2 </w:t>
      </w:r>
      <w:r w:rsidRPr="0046008A">
        <w:rPr>
          <w:rFonts w:ascii="Cheltenham-Book" w:hAnsi="Cheltenham-Book" w:cs="Cheltenham-Book"/>
          <w:color w:val="231F20"/>
          <w:sz w:val="18"/>
          <w:szCs w:val="18"/>
          <w:lang w:val="en-US"/>
        </w:rPr>
        <w:t>is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MTSY" w:eastAsia="MTSY" w:hAnsi="Cheltenham-Book" w:cs="MTSY" w:hint="eastAsia"/>
          <w:color w:val="231F20"/>
          <w:sz w:val="16"/>
          <w:szCs w:val="16"/>
          <w:lang w:val="en-US"/>
        </w:rPr>
        <w:t>•</w:t>
      </w:r>
      <w:r w:rsidRPr="0046008A">
        <w:rPr>
          <w:rFonts w:ascii="MTSY" w:eastAsia="MTSY" w:hAnsi="Cheltenham-Book" w:cs="MTSY"/>
          <w:color w:val="231F20"/>
          <w:sz w:val="16"/>
          <w:szCs w:val="16"/>
          <w:lang w:val="en-US"/>
        </w:rPr>
        <w:t xml:space="preserve"> </w:t>
      </w:r>
      <w:r w:rsidRPr="0046008A">
        <w:rPr>
          <w:rFonts w:ascii="Cheltenham-Book" w:hAnsi="Cheltenham-Book" w:cs="Cheltenham-Book"/>
          <w:color w:val="231F20"/>
          <w:sz w:val="18"/>
          <w:szCs w:val="18"/>
          <w:lang w:val="en-US"/>
        </w:rPr>
        <w:t>If you are long gamma you will lose money approximately 68% of the time: this is chi-square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distribution in action. But when you make money it</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will be from the tails, and big enough to give a mean</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of zero. Short gamma you lose only 32% of the time,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but they will be large losses.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MTSY" w:eastAsia="MTSY" w:hAnsi="Cheltenham-Book" w:cs="MTSY" w:hint="eastAsia"/>
          <w:color w:val="231F20"/>
          <w:sz w:val="16"/>
          <w:szCs w:val="16"/>
          <w:lang w:val="en-US"/>
        </w:rPr>
        <w:t>•</w:t>
      </w:r>
      <w:r w:rsidRPr="0046008A">
        <w:rPr>
          <w:rFonts w:ascii="MTSY" w:eastAsia="MTSY" w:hAnsi="Cheltenham-Book" w:cs="MTSY"/>
          <w:color w:val="231F20"/>
          <w:sz w:val="16"/>
          <w:szCs w:val="16"/>
          <w:lang w:val="en-US"/>
        </w:rPr>
        <w:t xml:space="preserve"> </w:t>
      </w:r>
      <w:r w:rsidRPr="0046008A">
        <w:rPr>
          <w:rFonts w:ascii="Cheltenham-Book" w:hAnsi="Cheltenham-Book" w:cs="Cheltenham-Book"/>
          <w:color w:val="231F20"/>
          <w:sz w:val="18"/>
          <w:szCs w:val="18"/>
          <w:lang w:val="en-US"/>
        </w:rPr>
        <w:t xml:space="preserve">In practice </w:t>
      </w:r>
      <w:r>
        <w:rPr>
          <w:rFonts w:ascii="MTMI" w:eastAsia="MTMI" w:hAnsi="Cheltenham-Book" w:cs="MTMI" w:hint="eastAsia"/>
          <w:i/>
          <w:iCs/>
          <w:color w:val="231F20"/>
          <w:sz w:val="18"/>
          <w:szCs w:val="18"/>
        </w:rPr>
        <w:t>φ</w:t>
      </w:r>
      <w:r w:rsidRPr="0046008A">
        <w:rPr>
          <w:rFonts w:ascii="MTMI" w:eastAsia="MTMI" w:hAnsi="Cheltenham-Book" w:cs="MTMI"/>
          <w:i/>
          <w:iCs/>
          <w:color w:val="231F20"/>
          <w:sz w:val="18"/>
          <w:szCs w:val="18"/>
          <w:lang w:val="en-US"/>
        </w:rPr>
        <w:t xml:space="preserve"> </w:t>
      </w:r>
      <w:r w:rsidRPr="0046008A">
        <w:rPr>
          <w:rFonts w:ascii="Cheltenham-Book" w:hAnsi="Cheltenham-Book" w:cs="Cheltenham-Book"/>
          <w:color w:val="231F20"/>
          <w:sz w:val="18"/>
          <w:szCs w:val="18"/>
          <w:lang w:val="en-US"/>
        </w:rPr>
        <w:t>is not normally distributed: the fat tails,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high peaks we see in practice will make the above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observation even more extreme, perhaps a long</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gamma position will lose 80% of the time and win</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only 20%. Still the mean will be zero.</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AshleyScriptMT" w:hAnsi="AshleyScriptMT" w:cs="AshleyScriptMT"/>
          <w:i/>
          <w:iCs/>
          <w:color w:val="231F20"/>
          <w:sz w:val="18"/>
          <w:szCs w:val="18"/>
          <w:lang w:val="en-US"/>
        </w:rPr>
        <w:t xml:space="preserve">How much will transaction costs reduce my profit? </w:t>
      </w:r>
      <w:r w:rsidRPr="0046008A">
        <w:rPr>
          <w:rFonts w:ascii="Cheltenham-Book" w:hAnsi="Cheltenham-Book" w:cs="Cheltenham-Book"/>
          <w:color w:val="231F20"/>
          <w:sz w:val="18"/>
          <w:szCs w:val="18"/>
          <w:lang w:val="en-US"/>
        </w:rPr>
        <w:t>To reduce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hedging error we must hedge more frequently, but</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the downside of this is that any costs associated with trading the underlying will increase. Can we quantify</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transaction costs? Of course we can.</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If we hold a short position in delta of the underlying and</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 xml:space="preserve">then rebalance to the new delta at a time </w:t>
      </w:r>
      <w:proofErr w:type="spellStart"/>
      <w:r>
        <w:rPr>
          <w:rFonts w:ascii="MTMI" w:eastAsia="MTMI" w:hAnsi="Cheltenham-Book" w:cs="MTMI" w:hint="eastAsia"/>
          <w:i/>
          <w:iCs/>
          <w:color w:val="231F20"/>
          <w:sz w:val="18"/>
          <w:szCs w:val="18"/>
        </w:rPr>
        <w:t>δ</w:t>
      </w:r>
      <w:r w:rsidRPr="0046008A">
        <w:rPr>
          <w:rFonts w:ascii="Cheltenham-BookItalic" w:hAnsi="Cheltenham-BookItalic" w:cs="Cheltenham-BookItalic"/>
          <w:i/>
          <w:iCs/>
          <w:color w:val="231F20"/>
          <w:sz w:val="18"/>
          <w:szCs w:val="18"/>
          <w:lang w:val="en-US"/>
        </w:rPr>
        <w:t>t</w:t>
      </w:r>
      <w:proofErr w:type="spellEnd"/>
      <w:r w:rsidRPr="0046008A">
        <w:rPr>
          <w:rFonts w:ascii="Cheltenham-BookItalic" w:hAnsi="Cheltenham-BookItalic" w:cs="Cheltenham-BookItalic"/>
          <w:i/>
          <w:iCs/>
          <w:color w:val="231F20"/>
          <w:sz w:val="18"/>
          <w:szCs w:val="18"/>
          <w:lang w:val="en-US"/>
        </w:rPr>
        <w:t xml:space="preserve"> </w:t>
      </w:r>
      <w:r w:rsidRPr="0046008A">
        <w:rPr>
          <w:rFonts w:ascii="Cheltenham-Book" w:hAnsi="Cheltenham-Book" w:cs="Cheltenham-Book"/>
          <w:color w:val="231F20"/>
          <w:sz w:val="18"/>
          <w:szCs w:val="18"/>
          <w:lang w:val="en-US"/>
        </w:rPr>
        <w:t>later then</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we will have had to have bought or sold whatever the</w:t>
      </w:r>
    </w:p>
    <w:p w:rsidR="0046008A" w:rsidRPr="0046008A" w:rsidRDefault="0046008A" w:rsidP="0046008A">
      <w:pPr>
        <w:autoSpaceDE w:val="0"/>
        <w:autoSpaceDN w:val="0"/>
        <w:adjustRightInd w:val="0"/>
        <w:spacing w:after="0" w:line="240" w:lineRule="auto"/>
        <w:rPr>
          <w:rFonts w:ascii="Cheltenham-BookItalic" w:hAnsi="Cheltenham-BookItalic" w:cs="Cheltenham-BookItalic"/>
          <w:i/>
          <w:iCs/>
          <w:color w:val="231F20"/>
          <w:sz w:val="18"/>
          <w:szCs w:val="18"/>
          <w:lang w:val="en-US"/>
        </w:rPr>
      </w:pPr>
      <w:r w:rsidRPr="0046008A">
        <w:rPr>
          <w:rFonts w:ascii="Cheltenham-Book" w:hAnsi="Cheltenham-Book" w:cs="Cheltenham-Book"/>
          <w:color w:val="231F20"/>
          <w:sz w:val="18"/>
          <w:szCs w:val="18"/>
          <w:lang w:val="en-US"/>
        </w:rPr>
        <w:t xml:space="preserve">change in delta was. As the stock price changes by </w:t>
      </w:r>
      <w:proofErr w:type="spellStart"/>
      <w:r>
        <w:rPr>
          <w:rFonts w:ascii="MTMI" w:eastAsia="MTMI" w:hAnsi="Cheltenham-Book" w:cs="MTMI" w:hint="eastAsia"/>
          <w:i/>
          <w:iCs/>
          <w:color w:val="231F20"/>
          <w:sz w:val="18"/>
          <w:szCs w:val="18"/>
        </w:rPr>
        <w:t>δ</w:t>
      </w:r>
      <w:r w:rsidRPr="0046008A">
        <w:rPr>
          <w:rFonts w:ascii="Cheltenham-BookItalic" w:hAnsi="Cheltenham-BookItalic" w:cs="Cheltenham-BookItalic"/>
          <w:i/>
          <w:iCs/>
          <w:color w:val="231F20"/>
          <w:sz w:val="18"/>
          <w:szCs w:val="18"/>
          <w:lang w:val="en-US"/>
        </w:rPr>
        <w:t>S</w:t>
      </w:r>
      <w:proofErr w:type="spellEnd"/>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 xml:space="preserve">then the delta changes by </w:t>
      </w:r>
      <w:proofErr w:type="spellStart"/>
      <w:r>
        <w:rPr>
          <w:rFonts w:ascii="MTMI" w:eastAsia="MTMI" w:hAnsi="Cheltenham-Book" w:cs="MTMI" w:hint="eastAsia"/>
          <w:i/>
          <w:iCs/>
          <w:color w:val="231F20"/>
          <w:sz w:val="18"/>
          <w:szCs w:val="18"/>
        </w:rPr>
        <w:t>δ</w:t>
      </w:r>
      <w:r w:rsidRPr="0046008A">
        <w:rPr>
          <w:rFonts w:ascii="Cheltenham-BookItalic" w:hAnsi="Cheltenham-BookItalic" w:cs="Cheltenham-BookItalic"/>
          <w:i/>
          <w:iCs/>
          <w:color w:val="231F20"/>
          <w:sz w:val="18"/>
          <w:szCs w:val="18"/>
          <w:lang w:val="en-US"/>
        </w:rPr>
        <w:t>S</w:t>
      </w:r>
      <w:proofErr w:type="spellEnd"/>
      <w:r w:rsidRPr="0046008A">
        <w:rPr>
          <w:rFonts w:ascii="Cheltenham-BookItalic" w:hAnsi="Cheltenham-BookItalic" w:cs="Cheltenham-BookItalic"/>
          <w:i/>
          <w:iCs/>
          <w:color w:val="231F20"/>
          <w:sz w:val="18"/>
          <w:szCs w:val="18"/>
          <w:lang w:val="en-US"/>
        </w:rPr>
        <w:t xml:space="preserve"> </w:t>
      </w:r>
      <w:r w:rsidRPr="0046008A">
        <w:rPr>
          <w:rFonts w:ascii="MTMI" w:eastAsia="MTMI" w:hAnsi="Cheltenham-Book" w:cs="MTMI"/>
          <w:i/>
          <w:iCs/>
          <w:color w:val="231F20"/>
          <w:sz w:val="18"/>
          <w:szCs w:val="18"/>
          <w:lang w:val="en-US"/>
        </w:rPr>
        <w:t>_</w:t>
      </w:r>
      <w:r w:rsidRPr="0046008A">
        <w:rPr>
          <w:rFonts w:ascii="Cheltenham-Book" w:hAnsi="Cheltenham-Book" w:cs="Cheltenham-Book"/>
          <w:color w:val="231F20"/>
          <w:sz w:val="18"/>
          <w:szCs w:val="18"/>
          <w:lang w:val="en-US"/>
        </w:rPr>
        <w:t>. If we assume that costs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are proportional to the absolute value of the amount of</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the underlying bought or sold, such that we pay in costs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 xml:space="preserve">an amount </w:t>
      </w:r>
      <w:r>
        <w:rPr>
          <w:rFonts w:ascii="MTMI" w:eastAsia="MTMI" w:hAnsi="Cheltenham-Book" w:cs="MTMI" w:hint="eastAsia"/>
          <w:i/>
          <w:iCs/>
          <w:color w:val="231F20"/>
          <w:sz w:val="18"/>
          <w:szCs w:val="18"/>
        </w:rPr>
        <w:t>κ</w:t>
      </w:r>
      <w:r w:rsidRPr="0046008A">
        <w:rPr>
          <w:rFonts w:ascii="MTMI" w:eastAsia="MTMI" w:hAnsi="Cheltenham-Book" w:cs="MTMI"/>
          <w:i/>
          <w:iCs/>
          <w:color w:val="231F20"/>
          <w:sz w:val="18"/>
          <w:szCs w:val="18"/>
          <w:lang w:val="en-US"/>
        </w:rPr>
        <w:t xml:space="preserve"> </w:t>
      </w:r>
      <w:r w:rsidRPr="0046008A">
        <w:rPr>
          <w:rFonts w:ascii="Cheltenham-Book" w:hAnsi="Cheltenham-Book" w:cs="Cheltenham-Book"/>
          <w:color w:val="231F20"/>
          <w:sz w:val="18"/>
          <w:szCs w:val="18"/>
          <w:lang w:val="en-US"/>
        </w:rPr>
        <w:t>times the value traded then the expected</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 xml:space="preserve">cost each </w:t>
      </w:r>
      <w:proofErr w:type="spellStart"/>
      <w:r>
        <w:rPr>
          <w:rFonts w:ascii="MTMI" w:eastAsia="MTMI" w:hAnsi="Cheltenham-Book" w:cs="MTMI" w:hint="eastAsia"/>
          <w:i/>
          <w:iCs/>
          <w:color w:val="231F20"/>
          <w:sz w:val="18"/>
          <w:szCs w:val="18"/>
        </w:rPr>
        <w:t>δ</w:t>
      </w:r>
      <w:r w:rsidRPr="0046008A">
        <w:rPr>
          <w:rFonts w:ascii="Cheltenham-BookItalic" w:hAnsi="Cheltenham-BookItalic" w:cs="Cheltenham-BookItalic"/>
          <w:i/>
          <w:iCs/>
          <w:color w:val="231F20"/>
          <w:sz w:val="18"/>
          <w:szCs w:val="18"/>
          <w:lang w:val="en-US"/>
        </w:rPr>
        <w:t>t</w:t>
      </w:r>
      <w:proofErr w:type="spellEnd"/>
      <w:r w:rsidRPr="0046008A">
        <w:rPr>
          <w:rFonts w:ascii="Cheltenham-BookItalic" w:hAnsi="Cheltenham-BookItalic" w:cs="Cheltenham-BookItalic"/>
          <w:i/>
          <w:iCs/>
          <w:color w:val="231F20"/>
          <w:sz w:val="18"/>
          <w:szCs w:val="18"/>
          <w:lang w:val="en-US"/>
        </w:rPr>
        <w:t xml:space="preserve"> </w:t>
      </w:r>
      <w:r w:rsidRPr="0046008A">
        <w:rPr>
          <w:rFonts w:ascii="Cheltenham-Book" w:hAnsi="Cheltenham-Book" w:cs="Cheltenham-Book"/>
          <w:color w:val="231F20"/>
          <w:sz w:val="18"/>
          <w:szCs w:val="18"/>
          <w:lang w:val="en-US"/>
        </w:rPr>
        <w:t>will be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3"/>
          <w:szCs w:val="13"/>
          <w:lang w:val="en-US"/>
        </w:rPr>
      </w:pPr>
      <w:r>
        <w:rPr>
          <w:rFonts w:ascii="MTMI" w:eastAsia="MTMI" w:hAnsi="Cheltenham-Book" w:cs="MTMI" w:hint="eastAsia"/>
          <w:i/>
          <w:iCs/>
          <w:color w:val="231F20"/>
          <w:sz w:val="18"/>
          <w:szCs w:val="18"/>
        </w:rPr>
        <w:t>κσ</w:t>
      </w:r>
      <w:r w:rsidRPr="0046008A">
        <w:rPr>
          <w:rFonts w:ascii="Cheltenham-BookItalic" w:hAnsi="Cheltenham-BookItalic" w:cs="Cheltenham-BookItalic"/>
          <w:i/>
          <w:iCs/>
          <w:color w:val="231F20"/>
          <w:sz w:val="18"/>
          <w:szCs w:val="18"/>
          <w:lang w:val="en-US"/>
        </w:rPr>
        <w:t>S</w:t>
      </w:r>
      <w:r w:rsidRPr="0046008A">
        <w:rPr>
          <w:rFonts w:ascii="Cheltenham-Book" w:hAnsi="Cheltenham-Book" w:cs="Cheltenham-Book"/>
          <w:color w:val="231F20"/>
          <w:sz w:val="13"/>
          <w:szCs w:val="13"/>
          <w:lang w:val="en-US"/>
        </w:rPr>
        <w:t>2</w:t>
      </w:r>
    </w:p>
    <w:p w:rsidR="0046008A" w:rsidRPr="0046008A" w:rsidRDefault="0046008A" w:rsidP="0046008A">
      <w:pPr>
        <w:autoSpaceDE w:val="0"/>
        <w:autoSpaceDN w:val="0"/>
        <w:adjustRightInd w:val="0"/>
        <w:spacing w:after="0" w:line="240" w:lineRule="auto"/>
        <w:rPr>
          <w:rFonts w:ascii="MTSY" w:eastAsia="MTSY" w:hAnsi="Cheltenham-Book" w:cs="MTSY"/>
          <w:color w:val="231F20"/>
          <w:sz w:val="18"/>
          <w:szCs w:val="18"/>
          <w:lang w:val="en-US"/>
        </w:rPr>
      </w:pPr>
      <w:r w:rsidRPr="0046008A">
        <w:rPr>
          <w:rFonts w:ascii="MTSY" w:eastAsia="MTSY" w:hAnsi="Cheltenham-Book" w:cs="MTSY" w:hint="eastAsia"/>
          <w:color w:val="231F20"/>
          <w:sz w:val="18"/>
          <w:szCs w:val="18"/>
          <w:lang w:val="en-US"/>
        </w:rPr>
        <w:t>√</w:t>
      </w:r>
    </w:p>
    <w:p w:rsidR="0046008A" w:rsidRPr="0046008A" w:rsidRDefault="0046008A" w:rsidP="0046008A">
      <w:pPr>
        <w:autoSpaceDE w:val="0"/>
        <w:autoSpaceDN w:val="0"/>
        <w:adjustRightInd w:val="0"/>
        <w:spacing w:after="0" w:line="240" w:lineRule="auto"/>
        <w:rPr>
          <w:rFonts w:ascii="Cheltenham-BookItalic" w:hAnsi="Cheltenham-BookItalic" w:cs="Cheltenham-BookItalic"/>
          <w:i/>
          <w:iCs/>
          <w:color w:val="231F20"/>
          <w:sz w:val="18"/>
          <w:szCs w:val="18"/>
          <w:lang w:val="en-US"/>
        </w:rPr>
      </w:pPr>
      <w:proofErr w:type="spellStart"/>
      <w:r>
        <w:rPr>
          <w:rFonts w:ascii="MTMI" w:eastAsia="MTMI" w:hAnsi="Cheltenham-Book" w:cs="MTMI" w:hint="eastAsia"/>
          <w:i/>
          <w:iCs/>
          <w:color w:val="231F20"/>
          <w:sz w:val="18"/>
          <w:szCs w:val="18"/>
        </w:rPr>
        <w:t>δ</w:t>
      </w:r>
      <w:r w:rsidRPr="0046008A">
        <w:rPr>
          <w:rFonts w:ascii="Cheltenham-BookItalic" w:hAnsi="Cheltenham-BookItalic" w:cs="Cheltenham-BookItalic"/>
          <w:i/>
          <w:iCs/>
          <w:color w:val="231F20"/>
          <w:sz w:val="18"/>
          <w:szCs w:val="18"/>
          <w:lang w:val="en-US"/>
        </w:rPr>
        <w:t>t</w:t>
      </w:r>
      <w:proofErr w:type="spellEnd"/>
    </w:p>
    <w:p w:rsidR="0046008A" w:rsidRPr="0046008A" w:rsidRDefault="0046008A" w:rsidP="0046008A">
      <w:pPr>
        <w:autoSpaceDE w:val="0"/>
        <w:autoSpaceDN w:val="0"/>
        <w:adjustRightInd w:val="0"/>
        <w:spacing w:after="0" w:line="240" w:lineRule="auto"/>
        <w:rPr>
          <w:rFonts w:ascii="MTEX" w:hAnsi="MTEX" w:cs="MTEX"/>
          <w:color w:val="231F20"/>
          <w:sz w:val="18"/>
          <w:szCs w:val="18"/>
          <w:lang w:val="en-US"/>
        </w:rPr>
      </w:pPr>
      <w:r w:rsidRPr="0046008A">
        <w:rPr>
          <w:rFonts w:ascii="MTEX" w:hAnsi="MTEX" w:cs="MTEX"/>
          <w:color w:val="231F20"/>
          <w:sz w:val="18"/>
          <w:szCs w:val="18"/>
          <w:lang w:val="en-US"/>
        </w:rPr>
        <w:t>_</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2</w:t>
      </w:r>
    </w:p>
    <w:p w:rsidR="0046008A" w:rsidRPr="0046008A" w:rsidRDefault="0046008A" w:rsidP="0046008A">
      <w:pPr>
        <w:autoSpaceDE w:val="0"/>
        <w:autoSpaceDN w:val="0"/>
        <w:adjustRightInd w:val="0"/>
        <w:spacing w:after="0" w:line="240" w:lineRule="auto"/>
        <w:rPr>
          <w:rFonts w:ascii="MTMI" w:eastAsia="MTMI" w:hAnsi="Cheltenham-Book" w:cs="MTMI"/>
          <w:i/>
          <w:iCs/>
          <w:color w:val="231F20"/>
          <w:sz w:val="18"/>
          <w:szCs w:val="18"/>
          <w:lang w:val="en-US"/>
        </w:rPr>
      </w:pPr>
      <w:r>
        <w:rPr>
          <w:rFonts w:ascii="MTMI" w:eastAsia="MTMI" w:hAnsi="Cheltenham-Book" w:cs="MTMI" w:hint="eastAsia"/>
          <w:i/>
          <w:iCs/>
          <w:color w:val="231F20"/>
          <w:sz w:val="18"/>
          <w:szCs w:val="18"/>
        </w:rPr>
        <w:t>π</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MTSY" w:eastAsia="MTSY" w:hAnsi="Cheltenham-Book" w:cs="MTSY"/>
          <w:color w:val="231F20"/>
          <w:sz w:val="18"/>
          <w:szCs w:val="18"/>
          <w:lang w:val="en-US"/>
        </w:rPr>
        <w:t>|</w:t>
      </w:r>
      <w:r w:rsidRPr="0046008A">
        <w:rPr>
          <w:rFonts w:ascii="MTMI" w:eastAsia="MTMI" w:hAnsi="Cheltenham-Book" w:cs="MTMI"/>
          <w:i/>
          <w:iCs/>
          <w:color w:val="231F20"/>
          <w:sz w:val="18"/>
          <w:szCs w:val="18"/>
          <w:lang w:val="en-US"/>
        </w:rPr>
        <w:t>_</w:t>
      </w:r>
      <w:r w:rsidRPr="0046008A">
        <w:rPr>
          <w:rFonts w:ascii="MTSY" w:eastAsia="MTSY" w:hAnsi="Cheltenham-Book" w:cs="MTSY"/>
          <w:color w:val="231F20"/>
          <w:sz w:val="18"/>
          <w:szCs w:val="18"/>
          <w:lang w:val="en-US"/>
        </w:rPr>
        <w:t>|</w:t>
      </w:r>
      <w:r w:rsidRPr="0046008A">
        <w:rPr>
          <w:rFonts w:ascii="Cheltenham-Book" w:hAnsi="Cheltenham-Book" w:cs="Cheltenham-Book"/>
          <w:color w:val="231F20"/>
          <w:sz w:val="18"/>
          <w:szCs w:val="18"/>
          <w:lang w:val="en-US"/>
        </w:rPr>
        <w:t>,</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where the</w:t>
      </w:r>
    </w:p>
    <w:p w:rsidR="0046008A" w:rsidRPr="0046008A" w:rsidRDefault="0046008A" w:rsidP="0046008A">
      <w:pPr>
        <w:autoSpaceDE w:val="0"/>
        <w:autoSpaceDN w:val="0"/>
        <w:adjustRightInd w:val="0"/>
        <w:spacing w:after="0" w:line="240" w:lineRule="auto"/>
        <w:rPr>
          <w:rFonts w:ascii="MTEX" w:hAnsi="MTEX" w:cs="MTEX"/>
          <w:color w:val="231F20"/>
          <w:sz w:val="18"/>
          <w:szCs w:val="18"/>
          <w:lang w:val="en-US"/>
        </w:rPr>
      </w:pPr>
      <w:r w:rsidRPr="0046008A">
        <w:rPr>
          <w:rFonts w:ascii="MTEX" w:hAnsi="MTEX" w:cs="MTEX"/>
          <w:color w:val="231F20"/>
          <w:sz w:val="18"/>
          <w:szCs w:val="18"/>
          <w:lang w:val="en-US"/>
        </w:rPr>
        <w:tab/>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3"/>
          <w:szCs w:val="13"/>
          <w:lang w:val="en-US"/>
        </w:rPr>
      </w:pPr>
      <w:r w:rsidRPr="0046008A">
        <w:rPr>
          <w:rFonts w:ascii="Cheltenham-Book" w:hAnsi="Cheltenham-Book" w:cs="Cheltenham-Book"/>
          <w:color w:val="231F20"/>
          <w:sz w:val="13"/>
          <w:szCs w:val="13"/>
          <w:lang w:val="en-US"/>
        </w:rPr>
        <w:t>2</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Pr>
          <w:rFonts w:ascii="MTMI" w:eastAsia="MTMI" w:hAnsi="Cheltenham-Book" w:cs="MTMI" w:hint="eastAsia"/>
          <w:i/>
          <w:iCs/>
          <w:color w:val="231F20"/>
          <w:sz w:val="13"/>
          <w:szCs w:val="13"/>
        </w:rPr>
        <w:t>π</w:t>
      </w:r>
      <w:r w:rsidRPr="0046008A">
        <w:rPr>
          <w:rFonts w:ascii="MTMI" w:eastAsia="MTMI" w:hAnsi="Cheltenham-Book" w:cs="MTMI"/>
          <w:i/>
          <w:iCs/>
          <w:color w:val="231F20"/>
          <w:sz w:val="13"/>
          <w:szCs w:val="13"/>
          <w:lang w:val="en-US"/>
        </w:rPr>
        <w:t xml:space="preserve"> </w:t>
      </w:r>
      <w:r w:rsidRPr="0046008A">
        <w:rPr>
          <w:rFonts w:ascii="Cheltenham-Book" w:hAnsi="Cheltenham-Book" w:cs="Cheltenham-Book"/>
          <w:color w:val="231F20"/>
          <w:sz w:val="18"/>
          <w:szCs w:val="18"/>
          <w:lang w:val="en-US"/>
        </w:rPr>
        <w:t>appears because we have to take the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expected value of the absolute value of a normal variable.</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Since this happens every time step, we can adjust</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the Black–Scholes equation by subtracting from it the</w:t>
      </w:r>
    </w:p>
    <w:p w:rsidR="0046008A" w:rsidRPr="0046008A" w:rsidRDefault="0046008A" w:rsidP="0046008A">
      <w:pPr>
        <w:autoSpaceDE w:val="0"/>
        <w:autoSpaceDN w:val="0"/>
        <w:adjustRightInd w:val="0"/>
        <w:spacing w:after="0" w:line="240" w:lineRule="auto"/>
        <w:rPr>
          <w:rFonts w:ascii="Cheltenham-BookItalic" w:eastAsia="MTMI" w:hAnsi="Cheltenham-BookItalic" w:cs="Cheltenham-BookItalic"/>
          <w:i/>
          <w:iCs/>
          <w:color w:val="231F20"/>
          <w:sz w:val="18"/>
          <w:szCs w:val="18"/>
          <w:lang w:val="en-US"/>
        </w:rPr>
      </w:pPr>
      <w:r w:rsidRPr="0046008A">
        <w:rPr>
          <w:rFonts w:ascii="Cheltenham-Book" w:hAnsi="Cheltenham-Book" w:cs="Cheltenham-Book"/>
          <w:color w:val="231F20"/>
          <w:sz w:val="18"/>
          <w:szCs w:val="18"/>
          <w:lang w:val="en-US"/>
        </w:rPr>
        <w:t xml:space="preserve">above divided by </w:t>
      </w:r>
      <w:proofErr w:type="spellStart"/>
      <w:r>
        <w:rPr>
          <w:rFonts w:ascii="MTMI" w:eastAsia="MTMI" w:hAnsi="Cheltenham-Book" w:cs="MTMI" w:hint="eastAsia"/>
          <w:i/>
          <w:iCs/>
          <w:color w:val="231F20"/>
          <w:sz w:val="18"/>
          <w:szCs w:val="18"/>
        </w:rPr>
        <w:t>δ</w:t>
      </w:r>
      <w:r w:rsidRPr="0046008A">
        <w:rPr>
          <w:rFonts w:ascii="Cheltenham-BookItalic" w:hAnsi="Cheltenham-BookItalic" w:cs="Cheltenham-BookItalic"/>
          <w:i/>
          <w:iCs/>
          <w:color w:val="231F20"/>
          <w:sz w:val="18"/>
          <w:szCs w:val="18"/>
          <w:lang w:val="en-US"/>
        </w:rPr>
        <w:t>t</w:t>
      </w:r>
      <w:proofErr w:type="spellEnd"/>
      <w:r w:rsidRPr="0046008A">
        <w:rPr>
          <w:rFonts w:ascii="Cheltenham-BookItalic" w:hAnsi="Cheltenham-BookItalic" w:cs="Cheltenham-BookItalic"/>
          <w:i/>
          <w:iCs/>
          <w:color w:val="231F20"/>
          <w:sz w:val="18"/>
          <w:szCs w:val="18"/>
          <w:lang w:val="en-US"/>
        </w:rPr>
        <w:t xml:space="preserve"> </w:t>
      </w:r>
      <w:r w:rsidRPr="0046008A">
        <w:rPr>
          <w:rFonts w:ascii="Cheltenham-Book" w:hAnsi="Cheltenham-Book" w:cs="Cheltenham-Book"/>
          <w:color w:val="231F20"/>
          <w:sz w:val="18"/>
          <w:szCs w:val="18"/>
          <w:lang w:val="en-US"/>
        </w:rPr>
        <w:t>to arrive at</w:t>
      </w:r>
      <w:r w:rsidRPr="0046008A">
        <w:rPr>
          <w:rFonts w:ascii="MTMI" w:eastAsia="MTMI" w:cs="MTMI" w:hint="eastAsia"/>
          <w:i/>
          <w:iCs/>
          <w:color w:val="231F20"/>
          <w:sz w:val="18"/>
          <w:szCs w:val="18"/>
          <w:lang w:val="en-US"/>
        </w:rPr>
        <w:t xml:space="preserve"> ∂</w:t>
      </w:r>
      <w:r w:rsidRPr="0046008A">
        <w:rPr>
          <w:rFonts w:ascii="Cheltenham-BookItalic" w:eastAsia="MTMI" w:hAnsi="Cheltenham-BookItalic" w:cs="Cheltenham-BookItalic"/>
          <w:i/>
          <w:iCs/>
          <w:color w:val="231F20"/>
          <w:sz w:val="18"/>
          <w:szCs w:val="18"/>
          <w:lang w:val="en-US"/>
        </w:rPr>
        <w:t>V</w:t>
      </w:r>
    </w:p>
    <w:p w:rsidR="0046008A" w:rsidRPr="0046008A" w:rsidRDefault="0046008A" w:rsidP="0046008A">
      <w:pPr>
        <w:autoSpaceDE w:val="0"/>
        <w:autoSpaceDN w:val="0"/>
        <w:adjustRightInd w:val="0"/>
        <w:spacing w:after="0" w:line="240" w:lineRule="auto"/>
        <w:rPr>
          <w:rFonts w:ascii="Cheltenham-BookItalic" w:eastAsia="MTMI" w:hAnsi="Cheltenham-BookItalic" w:cs="Cheltenham-BookItalic"/>
          <w:i/>
          <w:iCs/>
          <w:color w:val="231F20"/>
          <w:sz w:val="18"/>
          <w:szCs w:val="18"/>
          <w:lang w:val="en-US"/>
        </w:rPr>
      </w:pPr>
      <w:r w:rsidRPr="0046008A">
        <w:rPr>
          <w:rFonts w:ascii="MTMI" w:eastAsia="MTMI" w:cs="MTMI" w:hint="eastAsia"/>
          <w:i/>
          <w:iCs/>
          <w:color w:val="231F20"/>
          <w:sz w:val="18"/>
          <w:szCs w:val="18"/>
          <w:lang w:val="en-US"/>
        </w:rPr>
        <w:t>∂</w:t>
      </w:r>
      <w:r w:rsidRPr="0046008A">
        <w:rPr>
          <w:rFonts w:ascii="Cheltenham-BookItalic" w:eastAsia="MTMI" w:hAnsi="Cheltenham-BookItalic" w:cs="Cheltenham-BookItalic"/>
          <w:i/>
          <w:iCs/>
          <w:color w:val="231F20"/>
          <w:sz w:val="18"/>
          <w:szCs w:val="18"/>
          <w:lang w:val="en-US"/>
        </w:rPr>
        <w:t>t</w:t>
      </w:r>
    </w:p>
    <w:p w:rsidR="0046008A" w:rsidRPr="0046008A" w:rsidRDefault="0046008A" w:rsidP="0046008A">
      <w:pPr>
        <w:autoSpaceDE w:val="0"/>
        <w:autoSpaceDN w:val="0"/>
        <w:adjustRightInd w:val="0"/>
        <w:spacing w:after="0" w:line="240" w:lineRule="auto"/>
        <w:rPr>
          <w:rFonts w:ascii="Cheltenham-Book" w:eastAsia="MTMI" w:hAnsi="Cheltenham-Book" w:cs="Cheltenham-Book"/>
          <w:color w:val="231F20"/>
          <w:sz w:val="13"/>
          <w:szCs w:val="13"/>
          <w:lang w:val="en-US"/>
        </w:rPr>
      </w:pPr>
      <w:r w:rsidRPr="0046008A">
        <w:rPr>
          <w:rFonts w:ascii="MTSY" w:eastAsia="MTSY" w:cs="MTSY"/>
          <w:color w:val="231F20"/>
          <w:sz w:val="18"/>
          <w:szCs w:val="18"/>
          <w:lang w:val="en-US"/>
        </w:rPr>
        <w:t xml:space="preserve">+ </w:t>
      </w:r>
      <w:r w:rsidRPr="0046008A">
        <w:rPr>
          <w:rFonts w:ascii="Cheltenham-Book" w:eastAsia="MTMI" w:hAnsi="Cheltenham-Book" w:cs="Cheltenham-Book"/>
          <w:color w:val="231F20"/>
          <w:sz w:val="13"/>
          <w:szCs w:val="13"/>
          <w:lang w:val="en-US"/>
        </w:rPr>
        <w:t>12</w:t>
      </w:r>
    </w:p>
    <w:p w:rsidR="0046008A" w:rsidRPr="0046008A" w:rsidRDefault="0046008A" w:rsidP="0046008A">
      <w:pPr>
        <w:autoSpaceDE w:val="0"/>
        <w:autoSpaceDN w:val="0"/>
        <w:adjustRightInd w:val="0"/>
        <w:spacing w:after="0" w:line="240" w:lineRule="auto"/>
        <w:rPr>
          <w:rFonts w:ascii="Cheltenham-BookItalic" w:eastAsia="MTMI" w:hAnsi="Cheltenham-BookItalic" w:cs="Cheltenham-BookItalic"/>
          <w:i/>
          <w:iCs/>
          <w:color w:val="231F20"/>
          <w:sz w:val="13"/>
          <w:szCs w:val="13"/>
          <w:lang w:val="en-US"/>
        </w:rPr>
      </w:pPr>
      <w:r>
        <w:rPr>
          <w:rFonts w:ascii="MTMI" w:eastAsia="MTMI" w:cs="MTMI" w:hint="eastAsia"/>
          <w:i/>
          <w:iCs/>
          <w:color w:val="231F20"/>
          <w:sz w:val="18"/>
          <w:szCs w:val="18"/>
        </w:rPr>
        <w:t>σ</w:t>
      </w:r>
      <w:r w:rsidRPr="0046008A">
        <w:rPr>
          <w:rFonts w:ascii="Cheltenham-Book" w:eastAsia="MTMI" w:hAnsi="Cheltenham-Book" w:cs="Cheltenham-Book"/>
          <w:color w:val="231F20"/>
          <w:sz w:val="13"/>
          <w:szCs w:val="13"/>
          <w:lang w:val="en-US"/>
        </w:rPr>
        <w:t>2</w:t>
      </w:r>
      <w:r w:rsidRPr="0046008A">
        <w:rPr>
          <w:rFonts w:ascii="Cheltenham-BookItalic" w:eastAsia="MTMI" w:hAnsi="Cheltenham-BookItalic" w:cs="Cheltenham-BookItalic"/>
          <w:i/>
          <w:iCs/>
          <w:color w:val="231F20"/>
          <w:sz w:val="18"/>
          <w:szCs w:val="18"/>
          <w:lang w:val="en-US"/>
        </w:rPr>
        <w:t>S</w:t>
      </w:r>
      <w:r w:rsidRPr="0046008A">
        <w:rPr>
          <w:rFonts w:ascii="Cheltenham-Book" w:eastAsia="MTMI" w:hAnsi="Cheltenham-Book" w:cs="Cheltenham-Book"/>
          <w:color w:val="231F20"/>
          <w:sz w:val="13"/>
          <w:szCs w:val="13"/>
          <w:lang w:val="en-US"/>
        </w:rPr>
        <w:t xml:space="preserve">2 </w:t>
      </w:r>
      <w:r w:rsidRPr="0046008A">
        <w:rPr>
          <w:rFonts w:ascii="MTMI" w:eastAsia="MTMI" w:cs="MTMI" w:hint="eastAsia"/>
          <w:i/>
          <w:iCs/>
          <w:color w:val="231F20"/>
          <w:sz w:val="18"/>
          <w:szCs w:val="18"/>
          <w:lang w:val="en-US"/>
        </w:rPr>
        <w:t>∂</w:t>
      </w:r>
      <w:r w:rsidRPr="0046008A">
        <w:rPr>
          <w:rFonts w:ascii="Cheltenham-BookItalic" w:eastAsia="MTMI" w:hAnsi="Cheltenham-BookItalic" w:cs="Cheltenham-BookItalic"/>
          <w:i/>
          <w:iCs/>
          <w:color w:val="231F20"/>
          <w:sz w:val="13"/>
          <w:szCs w:val="13"/>
          <w:lang w:val="en-US"/>
        </w:rPr>
        <w:t>V</w:t>
      </w:r>
    </w:p>
    <w:p w:rsidR="0046008A" w:rsidRPr="0046008A" w:rsidRDefault="0046008A" w:rsidP="0046008A">
      <w:pPr>
        <w:autoSpaceDE w:val="0"/>
        <w:autoSpaceDN w:val="0"/>
        <w:adjustRightInd w:val="0"/>
        <w:spacing w:after="0" w:line="240" w:lineRule="auto"/>
        <w:rPr>
          <w:rFonts w:ascii="Cheltenham-Book" w:eastAsia="MTMI" w:hAnsi="Cheltenham-Book" w:cs="Cheltenham-Book"/>
          <w:color w:val="231F20"/>
          <w:sz w:val="13"/>
          <w:szCs w:val="13"/>
          <w:lang w:val="en-US"/>
        </w:rPr>
      </w:pPr>
      <w:r w:rsidRPr="0046008A">
        <w:rPr>
          <w:rFonts w:ascii="MTMI" w:eastAsia="MTMI" w:cs="MTMI" w:hint="eastAsia"/>
          <w:i/>
          <w:iCs/>
          <w:color w:val="231F20"/>
          <w:sz w:val="18"/>
          <w:szCs w:val="18"/>
          <w:lang w:val="en-US"/>
        </w:rPr>
        <w:t>∂</w:t>
      </w:r>
      <w:r w:rsidRPr="0046008A">
        <w:rPr>
          <w:rFonts w:ascii="Cheltenham-BookItalic" w:eastAsia="MTMI" w:hAnsi="Cheltenham-BookItalic" w:cs="Cheltenham-BookItalic"/>
          <w:i/>
          <w:iCs/>
          <w:color w:val="231F20"/>
          <w:sz w:val="18"/>
          <w:szCs w:val="18"/>
          <w:lang w:val="en-US"/>
        </w:rPr>
        <w:t>S</w:t>
      </w:r>
      <w:r w:rsidRPr="0046008A">
        <w:rPr>
          <w:rFonts w:ascii="Cheltenham-Book" w:eastAsia="MTMI" w:hAnsi="Cheltenham-Book" w:cs="Cheltenham-Book"/>
          <w:color w:val="231F20"/>
          <w:sz w:val="13"/>
          <w:szCs w:val="13"/>
          <w:lang w:val="en-US"/>
        </w:rPr>
        <w:t>2</w:t>
      </w:r>
    </w:p>
    <w:p w:rsidR="0046008A" w:rsidRPr="0046008A" w:rsidRDefault="0046008A" w:rsidP="0046008A">
      <w:pPr>
        <w:autoSpaceDE w:val="0"/>
        <w:autoSpaceDN w:val="0"/>
        <w:adjustRightInd w:val="0"/>
        <w:spacing w:after="0" w:line="240" w:lineRule="auto"/>
        <w:rPr>
          <w:rFonts w:ascii="Cheltenham-BookItalic" w:eastAsia="MTMI" w:hAnsi="Cheltenham-BookItalic" w:cs="Cheltenham-BookItalic"/>
          <w:i/>
          <w:iCs/>
          <w:color w:val="231F20"/>
          <w:sz w:val="18"/>
          <w:szCs w:val="18"/>
          <w:lang w:val="en-US"/>
        </w:rPr>
      </w:pPr>
      <w:r w:rsidRPr="0046008A">
        <w:rPr>
          <w:rFonts w:ascii="MTSY" w:eastAsia="MTSY" w:cs="MTSY"/>
          <w:color w:val="231F20"/>
          <w:sz w:val="18"/>
          <w:szCs w:val="18"/>
          <w:lang w:val="en-US"/>
        </w:rPr>
        <w:t xml:space="preserve">+ </w:t>
      </w:r>
      <w:proofErr w:type="spellStart"/>
      <w:r w:rsidRPr="0046008A">
        <w:rPr>
          <w:rFonts w:ascii="Cheltenham-BookItalic" w:eastAsia="MTMI" w:hAnsi="Cheltenham-BookItalic" w:cs="Cheltenham-BookItalic"/>
          <w:i/>
          <w:iCs/>
          <w:color w:val="231F20"/>
          <w:sz w:val="18"/>
          <w:szCs w:val="18"/>
          <w:lang w:val="en-US"/>
        </w:rPr>
        <w:t>rS</w:t>
      </w:r>
      <w:proofErr w:type="spellEnd"/>
    </w:p>
    <w:p w:rsidR="0046008A" w:rsidRPr="0046008A" w:rsidRDefault="0046008A" w:rsidP="0046008A">
      <w:pPr>
        <w:autoSpaceDE w:val="0"/>
        <w:autoSpaceDN w:val="0"/>
        <w:adjustRightInd w:val="0"/>
        <w:spacing w:after="0" w:line="240" w:lineRule="auto"/>
        <w:rPr>
          <w:rFonts w:ascii="Cheltenham-BookItalic" w:eastAsia="MTMI" w:hAnsi="Cheltenham-BookItalic" w:cs="Cheltenham-BookItalic"/>
          <w:i/>
          <w:iCs/>
          <w:color w:val="231F20"/>
          <w:sz w:val="18"/>
          <w:szCs w:val="18"/>
          <w:lang w:val="en-US"/>
        </w:rPr>
      </w:pPr>
      <w:r w:rsidRPr="0046008A">
        <w:rPr>
          <w:rFonts w:ascii="MTMI" w:eastAsia="MTMI" w:cs="MTMI" w:hint="eastAsia"/>
          <w:i/>
          <w:iCs/>
          <w:color w:val="231F20"/>
          <w:sz w:val="18"/>
          <w:szCs w:val="18"/>
          <w:lang w:val="en-US"/>
        </w:rPr>
        <w:t>∂</w:t>
      </w:r>
      <w:r w:rsidRPr="0046008A">
        <w:rPr>
          <w:rFonts w:ascii="Cheltenham-BookItalic" w:eastAsia="MTMI" w:hAnsi="Cheltenham-BookItalic" w:cs="Cheltenham-BookItalic"/>
          <w:i/>
          <w:iCs/>
          <w:color w:val="231F20"/>
          <w:sz w:val="18"/>
          <w:szCs w:val="18"/>
          <w:lang w:val="en-US"/>
        </w:rPr>
        <w:t>V</w:t>
      </w:r>
    </w:p>
    <w:p w:rsidR="0046008A" w:rsidRPr="0046008A" w:rsidRDefault="0046008A" w:rsidP="0046008A">
      <w:pPr>
        <w:autoSpaceDE w:val="0"/>
        <w:autoSpaceDN w:val="0"/>
        <w:adjustRightInd w:val="0"/>
        <w:spacing w:after="0" w:line="240" w:lineRule="auto"/>
        <w:rPr>
          <w:rFonts w:ascii="Cheltenham-BookItalic" w:eastAsia="MTMI" w:hAnsi="Cheltenham-BookItalic" w:cs="Cheltenham-BookItalic"/>
          <w:i/>
          <w:iCs/>
          <w:color w:val="231F20"/>
          <w:sz w:val="18"/>
          <w:szCs w:val="18"/>
          <w:lang w:val="en-US"/>
        </w:rPr>
      </w:pPr>
      <w:r w:rsidRPr="0046008A">
        <w:rPr>
          <w:rFonts w:ascii="MTMI" w:eastAsia="MTMI" w:cs="MTMI" w:hint="eastAsia"/>
          <w:i/>
          <w:iCs/>
          <w:color w:val="231F20"/>
          <w:sz w:val="18"/>
          <w:szCs w:val="18"/>
          <w:lang w:val="en-US"/>
        </w:rPr>
        <w:t>∂</w:t>
      </w:r>
      <w:r w:rsidRPr="0046008A">
        <w:rPr>
          <w:rFonts w:ascii="Cheltenham-BookItalic" w:eastAsia="MTMI" w:hAnsi="Cheltenham-BookItalic" w:cs="Cheltenham-BookItalic"/>
          <w:i/>
          <w:iCs/>
          <w:color w:val="231F20"/>
          <w:sz w:val="18"/>
          <w:szCs w:val="18"/>
          <w:lang w:val="en-US"/>
        </w:rPr>
        <w:t>S</w:t>
      </w:r>
    </w:p>
    <w:p w:rsidR="0046008A" w:rsidRPr="0046008A" w:rsidRDefault="0046008A" w:rsidP="0046008A">
      <w:pPr>
        <w:autoSpaceDE w:val="0"/>
        <w:autoSpaceDN w:val="0"/>
        <w:adjustRightInd w:val="0"/>
        <w:spacing w:after="0" w:line="240" w:lineRule="auto"/>
        <w:rPr>
          <w:rFonts w:ascii="Cheltenham-Book" w:eastAsia="MTMI" w:hAnsi="Cheltenham-Book" w:cs="Cheltenham-Book"/>
          <w:color w:val="231F20"/>
          <w:sz w:val="13"/>
          <w:szCs w:val="13"/>
          <w:lang w:val="en-US"/>
        </w:rPr>
      </w:pPr>
      <w:r w:rsidRPr="0046008A">
        <w:rPr>
          <w:rFonts w:ascii="MS Gothic" w:eastAsia="MS Gothic" w:hAnsi="MS Gothic" w:cs="MS Gothic" w:hint="eastAsia"/>
          <w:color w:val="231F20"/>
          <w:sz w:val="18"/>
          <w:szCs w:val="18"/>
          <w:lang w:val="en-US"/>
        </w:rPr>
        <w:t>−</w:t>
      </w:r>
      <w:r w:rsidRPr="0046008A">
        <w:rPr>
          <w:rFonts w:ascii="MTSY" w:eastAsia="MTSY" w:cs="MTSY"/>
          <w:color w:val="231F20"/>
          <w:sz w:val="18"/>
          <w:szCs w:val="18"/>
          <w:lang w:val="en-US"/>
        </w:rPr>
        <w:t xml:space="preserve"> </w:t>
      </w:r>
      <w:proofErr w:type="spellStart"/>
      <w:r w:rsidRPr="0046008A">
        <w:rPr>
          <w:rFonts w:ascii="Cheltenham-BookItalic" w:eastAsia="MTMI" w:hAnsi="Cheltenham-BookItalic" w:cs="Cheltenham-BookItalic"/>
          <w:i/>
          <w:iCs/>
          <w:color w:val="231F20"/>
          <w:sz w:val="18"/>
          <w:szCs w:val="18"/>
          <w:lang w:val="en-US"/>
        </w:rPr>
        <w:t>rV</w:t>
      </w:r>
      <w:proofErr w:type="spellEnd"/>
      <w:r w:rsidRPr="0046008A">
        <w:rPr>
          <w:rFonts w:ascii="Cheltenham-BookItalic" w:eastAsia="MTMI" w:hAnsi="Cheltenham-BookItalic" w:cs="Cheltenham-BookItalic"/>
          <w:i/>
          <w:iCs/>
          <w:color w:val="231F20"/>
          <w:sz w:val="18"/>
          <w:szCs w:val="18"/>
          <w:lang w:val="en-US"/>
        </w:rPr>
        <w:t xml:space="preserve"> </w:t>
      </w:r>
      <w:r w:rsidRPr="0046008A">
        <w:rPr>
          <w:rFonts w:ascii="MS Gothic" w:eastAsia="MS Gothic" w:hAnsi="MS Gothic" w:cs="MS Gothic" w:hint="eastAsia"/>
          <w:color w:val="231F20"/>
          <w:sz w:val="18"/>
          <w:szCs w:val="18"/>
          <w:lang w:val="en-US"/>
        </w:rPr>
        <w:t>−</w:t>
      </w:r>
      <w:r w:rsidRPr="0046008A">
        <w:rPr>
          <w:rFonts w:ascii="MTSY" w:eastAsia="MTSY" w:cs="MTSY"/>
          <w:color w:val="231F20"/>
          <w:sz w:val="18"/>
          <w:szCs w:val="18"/>
          <w:lang w:val="en-US"/>
        </w:rPr>
        <w:t xml:space="preserve"> </w:t>
      </w:r>
      <w:r>
        <w:rPr>
          <w:rFonts w:ascii="MTMI" w:eastAsia="MTMI" w:cs="MTMI" w:hint="eastAsia"/>
          <w:i/>
          <w:iCs/>
          <w:color w:val="231F20"/>
          <w:sz w:val="18"/>
          <w:szCs w:val="18"/>
        </w:rPr>
        <w:t>κσ</w:t>
      </w:r>
      <w:r w:rsidRPr="0046008A">
        <w:rPr>
          <w:rFonts w:ascii="Cheltenham-BookItalic" w:eastAsia="MTMI" w:hAnsi="Cheltenham-BookItalic" w:cs="Cheltenham-BookItalic"/>
          <w:i/>
          <w:iCs/>
          <w:color w:val="231F20"/>
          <w:sz w:val="18"/>
          <w:szCs w:val="18"/>
          <w:lang w:val="en-US"/>
        </w:rPr>
        <w:t>S</w:t>
      </w:r>
      <w:r w:rsidRPr="0046008A">
        <w:rPr>
          <w:rFonts w:ascii="Cheltenham-Book" w:eastAsia="MTMI" w:hAnsi="Cheltenham-Book" w:cs="Cheltenham-Book"/>
          <w:color w:val="231F20"/>
          <w:sz w:val="13"/>
          <w:szCs w:val="13"/>
          <w:lang w:val="en-US"/>
        </w:rPr>
        <w:t>2</w:t>
      </w:r>
    </w:p>
    <w:p w:rsidR="0046008A" w:rsidRPr="0046008A" w:rsidRDefault="0046008A" w:rsidP="0046008A">
      <w:pPr>
        <w:autoSpaceDE w:val="0"/>
        <w:autoSpaceDN w:val="0"/>
        <w:adjustRightInd w:val="0"/>
        <w:spacing w:after="0" w:line="240" w:lineRule="auto"/>
        <w:rPr>
          <w:rFonts w:ascii="MTEX" w:eastAsia="MTMI" w:hAnsi="MTEX" w:cs="MTEX"/>
          <w:color w:val="231F20"/>
          <w:sz w:val="18"/>
          <w:szCs w:val="18"/>
          <w:lang w:val="en-US"/>
        </w:rPr>
      </w:pPr>
      <w:r w:rsidRPr="0046008A">
        <w:rPr>
          <w:rFonts w:ascii="MTEX" w:eastAsia="MTMI" w:hAnsi="MTEX" w:cs="MTEX"/>
          <w:color w:val="231F20"/>
          <w:sz w:val="18"/>
          <w:szCs w:val="18"/>
          <w:lang w:val="en-US"/>
        </w:rPr>
        <w:t>_</w:t>
      </w:r>
    </w:p>
    <w:p w:rsidR="0046008A" w:rsidRPr="0046008A" w:rsidRDefault="0046008A" w:rsidP="0046008A">
      <w:pPr>
        <w:autoSpaceDE w:val="0"/>
        <w:autoSpaceDN w:val="0"/>
        <w:adjustRightInd w:val="0"/>
        <w:spacing w:after="0" w:line="240" w:lineRule="auto"/>
        <w:rPr>
          <w:rFonts w:ascii="Cheltenham-Book" w:eastAsia="MTMI" w:hAnsi="Cheltenham-Book" w:cs="Cheltenham-Book"/>
          <w:color w:val="231F20"/>
          <w:sz w:val="18"/>
          <w:szCs w:val="18"/>
          <w:lang w:val="en-US"/>
        </w:rPr>
      </w:pPr>
      <w:r w:rsidRPr="0046008A">
        <w:rPr>
          <w:rFonts w:ascii="Cheltenham-Book" w:eastAsia="MTMI" w:hAnsi="Cheltenham-Book" w:cs="Cheltenham-Book"/>
          <w:color w:val="231F20"/>
          <w:sz w:val="18"/>
          <w:szCs w:val="18"/>
          <w:lang w:val="en-US"/>
        </w:rPr>
        <w:t>2</w:t>
      </w:r>
    </w:p>
    <w:p w:rsidR="0046008A" w:rsidRPr="0046008A" w:rsidRDefault="0046008A" w:rsidP="0046008A">
      <w:pPr>
        <w:autoSpaceDE w:val="0"/>
        <w:autoSpaceDN w:val="0"/>
        <w:adjustRightInd w:val="0"/>
        <w:spacing w:after="0" w:line="240" w:lineRule="auto"/>
        <w:rPr>
          <w:rFonts w:ascii="Cheltenham-BookItalic" w:eastAsia="MTMI" w:hAnsi="Cheltenham-BookItalic" w:cs="Cheltenham-BookItalic"/>
          <w:i/>
          <w:iCs/>
          <w:color w:val="231F20"/>
          <w:sz w:val="18"/>
          <w:szCs w:val="18"/>
          <w:lang w:val="en-US"/>
        </w:rPr>
      </w:pPr>
      <w:r>
        <w:rPr>
          <w:rFonts w:ascii="MTMI" w:eastAsia="MTMI" w:cs="MTMI" w:hint="eastAsia"/>
          <w:i/>
          <w:iCs/>
          <w:color w:val="231F20"/>
          <w:sz w:val="18"/>
          <w:szCs w:val="18"/>
        </w:rPr>
        <w:t>π</w:t>
      </w:r>
      <w:proofErr w:type="spellStart"/>
      <w:r>
        <w:rPr>
          <w:rFonts w:ascii="MTMI" w:eastAsia="MTMI" w:cs="MTMI" w:hint="eastAsia"/>
          <w:i/>
          <w:iCs/>
          <w:color w:val="231F20"/>
          <w:sz w:val="18"/>
          <w:szCs w:val="18"/>
        </w:rPr>
        <w:t>δ</w:t>
      </w:r>
      <w:r w:rsidRPr="0046008A">
        <w:rPr>
          <w:rFonts w:ascii="Cheltenham-BookItalic" w:eastAsia="MTMI" w:hAnsi="Cheltenham-BookItalic" w:cs="Cheltenham-BookItalic"/>
          <w:i/>
          <w:iCs/>
          <w:color w:val="231F20"/>
          <w:sz w:val="18"/>
          <w:szCs w:val="18"/>
          <w:lang w:val="en-US"/>
        </w:rPr>
        <w:t>t</w:t>
      </w:r>
      <w:proofErr w:type="spellEnd"/>
    </w:p>
    <w:p w:rsidR="0046008A" w:rsidRPr="0046008A" w:rsidRDefault="0046008A" w:rsidP="0046008A">
      <w:pPr>
        <w:autoSpaceDE w:val="0"/>
        <w:autoSpaceDN w:val="0"/>
        <w:adjustRightInd w:val="0"/>
        <w:spacing w:after="0" w:line="240" w:lineRule="auto"/>
        <w:rPr>
          <w:rFonts w:ascii="MTMI" w:eastAsia="MTMI" w:cs="MTMI"/>
          <w:i/>
          <w:iCs/>
          <w:color w:val="231F20"/>
          <w:sz w:val="18"/>
          <w:szCs w:val="18"/>
          <w:lang w:val="en-US"/>
        </w:rPr>
      </w:pPr>
      <w:r w:rsidRPr="0046008A">
        <w:rPr>
          <w:rFonts w:ascii="MTSY" w:eastAsia="MTSY" w:cs="MTSY"/>
          <w:color w:val="231F20"/>
          <w:sz w:val="18"/>
          <w:szCs w:val="18"/>
          <w:lang w:val="en-US"/>
        </w:rPr>
        <w:lastRenderedPageBreak/>
        <w:t>|</w:t>
      </w:r>
      <w:r w:rsidRPr="0046008A">
        <w:rPr>
          <w:rFonts w:ascii="MTMI" w:eastAsia="MTMI" w:cs="MTMI"/>
          <w:i/>
          <w:iCs/>
          <w:color w:val="231F20"/>
          <w:sz w:val="18"/>
          <w:szCs w:val="18"/>
          <w:lang w:val="en-US"/>
        </w:rPr>
        <w:t>_</w:t>
      </w:r>
      <w:r w:rsidRPr="0046008A">
        <w:rPr>
          <w:rFonts w:ascii="MTSY" w:eastAsia="MTSY" w:cs="MTSY"/>
          <w:color w:val="231F20"/>
          <w:sz w:val="18"/>
          <w:szCs w:val="18"/>
          <w:lang w:val="en-US"/>
        </w:rPr>
        <w:t xml:space="preserve">| = </w:t>
      </w:r>
      <w:r w:rsidRPr="0046008A">
        <w:rPr>
          <w:rFonts w:ascii="Cheltenham-Book" w:eastAsia="MTMI" w:hAnsi="Cheltenham-Book" w:cs="Cheltenham-Book"/>
          <w:color w:val="231F20"/>
          <w:sz w:val="18"/>
          <w:szCs w:val="18"/>
          <w:lang w:val="en-US"/>
        </w:rPr>
        <w:t>0</w:t>
      </w:r>
      <w:r w:rsidRPr="0046008A">
        <w:rPr>
          <w:rFonts w:ascii="MTMI" w:eastAsia="MTMI" w:cs="MTMI"/>
          <w:i/>
          <w:iCs/>
          <w:color w:val="231F20"/>
          <w:sz w:val="18"/>
          <w:szCs w:val="18"/>
          <w:lang w:val="en-US"/>
        </w:rPr>
        <w:t>.</w:t>
      </w:r>
    </w:p>
    <w:p w:rsidR="0046008A" w:rsidRPr="0046008A" w:rsidRDefault="0046008A" w:rsidP="0046008A">
      <w:pPr>
        <w:autoSpaceDE w:val="0"/>
        <w:autoSpaceDN w:val="0"/>
        <w:adjustRightInd w:val="0"/>
        <w:spacing w:after="0" w:line="240" w:lineRule="auto"/>
        <w:rPr>
          <w:rFonts w:ascii="Cheltenham-Book" w:eastAsia="MTMI" w:hAnsi="Cheltenham-Book" w:cs="Cheltenham-Book"/>
          <w:color w:val="231F20"/>
          <w:sz w:val="18"/>
          <w:szCs w:val="18"/>
          <w:lang w:val="en-US"/>
        </w:rPr>
      </w:pPr>
      <w:r w:rsidRPr="0046008A">
        <w:rPr>
          <w:rFonts w:ascii="Cheltenham-Book" w:eastAsia="MTMI" w:hAnsi="Cheltenham-Book" w:cs="Cheltenham-Book"/>
          <w:color w:val="231F20"/>
          <w:sz w:val="18"/>
          <w:szCs w:val="18"/>
          <w:lang w:val="en-US"/>
        </w:rPr>
        <w:t xml:space="preserve">This equation is interesting for being </w:t>
      </w:r>
      <w:proofErr w:type="spellStart"/>
      <w:r w:rsidRPr="0046008A">
        <w:rPr>
          <w:rFonts w:ascii="Cheltenham-Book" w:eastAsia="MTMI" w:hAnsi="Cheltenham-Book" w:cs="Cheltenham-Book"/>
          <w:color w:val="231F20"/>
          <w:sz w:val="18"/>
          <w:szCs w:val="18"/>
          <w:lang w:val="en-US"/>
        </w:rPr>
        <w:t>non linear</w:t>
      </w:r>
      <w:proofErr w:type="spellEnd"/>
      <w:r w:rsidRPr="0046008A">
        <w:rPr>
          <w:rFonts w:ascii="Cheltenham-Book" w:eastAsia="MTMI" w:hAnsi="Cheltenham-Book" w:cs="Cheltenham-Book"/>
          <w:color w:val="231F20"/>
          <w:sz w:val="18"/>
          <w:szCs w:val="18"/>
          <w:lang w:val="en-US"/>
        </w:rPr>
        <w:t>, so that</w:t>
      </w:r>
    </w:p>
    <w:p w:rsidR="0046008A" w:rsidRPr="0046008A" w:rsidRDefault="0046008A" w:rsidP="0046008A">
      <w:pPr>
        <w:autoSpaceDE w:val="0"/>
        <w:autoSpaceDN w:val="0"/>
        <w:adjustRightInd w:val="0"/>
        <w:spacing w:after="0" w:line="240" w:lineRule="auto"/>
        <w:rPr>
          <w:rFonts w:ascii="Cheltenham-Book" w:eastAsia="MTMI" w:hAnsi="Cheltenham-Book" w:cs="Cheltenham-Book"/>
          <w:color w:val="231F20"/>
          <w:sz w:val="18"/>
          <w:szCs w:val="18"/>
          <w:lang w:val="en-US"/>
        </w:rPr>
      </w:pPr>
      <w:r w:rsidRPr="0046008A">
        <w:rPr>
          <w:rFonts w:ascii="Cheltenham-Book" w:eastAsia="MTMI" w:hAnsi="Cheltenham-Book" w:cs="Cheltenham-Book"/>
          <w:color w:val="231F20"/>
          <w:sz w:val="18"/>
          <w:szCs w:val="18"/>
          <w:lang w:val="en-US"/>
        </w:rPr>
        <w:t>the value of a long call and a short call will be different.</w:t>
      </w:r>
    </w:p>
    <w:p w:rsidR="0046008A" w:rsidRPr="0046008A" w:rsidRDefault="0046008A" w:rsidP="0046008A">
      <w:pPr>
        <w:autoSpaceDE w:val="0"/>
        <w:autoSpaceDN w:val="0"/>
        <w:adjustRightInd w:val="0"/>
        <w:spacing w:after="0" w:line="240" w:lineRule="auto"/>
        <w:rPr>
          <w:rFonts w:ascii="Cheltenham-Book" w:eastAsia="MTMI" w:hAnsi="Cheltenham-Book" w:cs="Cheltenham-Book"/>
          <w:color w:val="231F20"/>
          <w:sz w:val="18"/>
          <w:szCs w:val="18"/>
          <w:lang w:val="en-US"/>
        </w:rPr>
      </w:pPr>
      <w:r w:rsidRPr="0046008A">
        <w:rPr>
          <w:rFonts w:ascii="Cheltenham-Book" w:eastAsia="MTMI" w:hAnsi="Cheltenham-Book" w:cs="Cheltenham-Book"/>
          <w:color w:val="231F20"/>
          <w:sz w:val="18"/>
          <w:szCs w:val="18"/>
          <w:lang w:val="en-US"/>
        </w:rPr>
        <w:t>The long call will be less than the Black–Scholes value</w:t>
      </w:r>
    </w:p>
    <w:p w:rsidR="0046008A" w:rsidRPr="0046008A" w:rsidRDefault="0046008A" w:rsidP="0046008A">
      <w:pPr>
        <w:autoSpaceDE w:val="0"/>
        <w:autoSpaceDN w:val="0"/>
        <w:adjustRightInd w:val="0"/>
        <w:spacing w:after="0" w:line="240" w:lineRule="auto"/>
        <w:rPr>
          <w:rFonts w:ascii="Cheltenham-Book" w:eastAsia="MTMI" w:hAnsi="Cheltenham-Book" w:cs="Cheltenham-Book"/>
          <w:color w:val="231F20"/>
          <w:sz w:val="18"/>
          <w:szCs w:val="18"/>
          <w:lang w:val="en-US"/>
        </w:rPr>
      </w:pPr>
      <w:r w:rsidRPr="0046008A">
        <w:rPr>
          <w:rFonts w:ascii="Cheltenham-Book" w:eastAsia="MTMI" w:hAnsi="Cheltenham-Book" w:cs="Cheltenham-Book"/>
          <w:color w:val="231F20"/>
          <w:sz w:val="18"/>
          <w:szCs w:val="18"/>
          <w:lang w:val="en-US"/>
        </w:rPr>
        <w:t>and a short call higher. The long position is worth less</w:t>
      </w:r>
    </w:p>
    <w:p w:rsidR="0046008A" w:rsidRPr="0046008A" w:rsidRDefault="0046008A" w:rsidP="0046008A">
      <w:pPr>
        <w:autoSpaceDE w:val="0"/>
        <w:autoSpaceDN w:val="0"/>
        <w:adjustRightInd w:val="0"/>
        <w:spacing w:after="0" w:line="240" w:lineRule="auto"/>
        <w:rPr>
          <w:rFonts w:ascii="Cheltenham-Book" w:eastAsia="MTMI" w:hAnsi="Cheltenham-Book" w:cs="Cheltenham-Book"/>
          <w:color w:val="231F20"/>
          <w:sz w:val="18"/>
          <w:szCs w:val="18"/>
          <w:lang w:val="en-US"/>
        </w:rPr>
      </w:pPr>
      <w:r w:rsidRPr="0046008A">
        <w:rPr>
          <w:rFonts w:ascii="Cheltenham-Book" w:eastAsia="MTMI" w:hAnsi="Cheltenham-Book" w:cs="Cheltenham-Book"/>
          <w:color w:val="231F20"/>
          <w:sz w:val="18"/>
          <w:szCs w:val="18"/>
          <w:lang w:val="en-US"/>
        </w:rPr>
        <w:t>because we have to allow for the cost of hedging. The</w:t>
      </w:r>
    </w:p>
    <w:p w:rsidR="0046008A" w:rsidRPr="0046008A" w:rsidRDefault="0046008A" w:rsidP="0046008A">
      <w:pPr>
        <w:autoSpaceDE w:val="0"/>
        <w:autoSpaceDN w:val="0"/>
        <w:adjustRightInd w:val="0"/>
        <w:spacing w:after="0" w:line="240" w:lineRule="auto"/>
        <w:rPr>
          <w:rFonts w:ascii="Cheltenham-Book" w:eastAsia="MTMI" w:hAnsi="Cheltenham-Book" w:cs="Cheltenham-Book"/>
          <w:color w:val="231F20"/>
          <w:sz w:val="18"/>
          <w:szCs w:val="18"/>
          <w:lang w:val="en-US"/>
        </w:rPr>
      </w:pPr>
      <w:r w:rsidRPr="0046008A">
        <w:rPr>
          <w:rFonts w:ascii="Cheltenham-Book" w:eastAsia="MTMI" w:hAnsi="Cheltenham-Book" w:cs="Cheltenham-Book"/>
          <w:color w:val="231F20"/>
          <w:sz w:val="18"/>
          <w:szCs w:val="18"/>
          <w:lang w:val="en-US"/>
        </w:rPr>
        <w:t>short position is even more of a liability because of costs.</w:t>
      </w:r>
    </w:p>
    <w:p w:rsidR="0046008A" w:rsidRPr="0046008A" w:rsidRDefault="0046008A" w:rsidP="0046008A">
      <w:pPr>
        <w:autoSpaceDE w:val="0"/>
        <w:autoSpaceDN w:val="0"/>
        <w:adjustRightInd w:val="0"/>
        <w:spacing w:after="0" w:line="240" w:lineRule="auto"/>
        <w:rPr>
          <w:rFonts w:ascii="Cheltenham-Book" w:eastAsia="MTMI" w:hAnsi="Cheltenham-Book" w:cs="Cheltenham-Book"/>
          <w:color w:val="231F20"/>
          <w:sz w:val="18"/>
          <w:szCs w:val="18"/>
          <w:lang w:val="en-US"/>
        </w:rPr>
      </w:pPr>
      <w:r w:rsidRPr="0046008A">
        <w:rPr>
          <w:rFonts w:ascii="Cheltenham-Book" w:eastAsia="MTMI" w:hAnsi="Cheltenham-Book" w:cs="Cheltenham-Book"/>
          <w:color w:val="231F20"/>
          <w:sz w:val="18"/>
          <w:szCs w:val="18"/>
          <w:lang w:val="en-US"/>
        </w:rPr>
        <w:t>Crucially we also see that the effect of costs grows</w:t>
      </w:r>
    </w:p>
    <w:p w:rsidR="0046008A" w:rsidRPr="0046008A" w:rsidRDefault="0046008A" w:rsidP="0046008A">
      <w:pPr>
        <w:autoSpaceDE w:val="0"/>
        <w:autoSpaceDN w:val="0"/>
        <w:adjustRightInd w:val="0"/>
        <w:spacing w:after="0" w:line="240" w:lineRule="auto"/>
        <w:rPr>
          <w:rFonts w:ascii="Cheltenham-Book" w:eastAsia="MTMI" w:hAnsi="Cheltenham-Book" w:cs="Cheltenham-Book"/>
          <w:color w:val="231F20"/>
          <w:sz w:val="18"/>
          <w:szCs w:val="18"/>
          <w:lang w:val="en-US"/>
        </w:rPr>
      </w:pPr>
      <w:r w:rsidRPr="0046008A">
        <w:rPr>
          <w:rFonts w:ascii="Cheltenham-Book" w:eastAsia="MTMI" w:hAnsi="Cheltenham-Book" w:cs="Cheltenham-Book"/>
          <w:color w:val="231F20"/>
          <w:sz w:val="18"/>
          <w:szCs w:val="18"/>
          <w:lang w:val="en-US"/>
        </w:rPr>
        <w:t>like the inverse of the square root of the time between</w:t>
      </w:r>
    </w:p>
    <w:p w:rsidR="0046008A" w:rsidRPr="0046008A" w:rsidRDefault="0046008A" w:rsidP="0046008A">
      <w:pPr>
        <w:autoSpaceDE w:val="0"/>
        <w:autoSpaceDN w:val="0"/>
        <w:adjustRightInd w:val="0"/>
        <w:spacing w:after="0" w:line="240" w:lineRule="auto"/>
        <w:rPr>
          <w:rFonts w:ascii="Cheltenham-Book" w:eastAsia="MTMI" w:hAnsi="Cheltenham-Book" w:cs="Cheltenham-Book"/>
          <w:color w:val="231F20"/>
          <w:sz w:val="18"/>
          <w:szCs w:val="18"/>
          <w:lang w:val="en-US"/>
        </w:rPr>
      </w:pPr>
      <w:proofErr w:type="spellStart"/>
      <w:r w:rsidRPr="0046008A">
        <w:rPr>
          <w:rFonts w:ascii="Cheltenham-Book" w:eastAsia="MTMI" w:hAnsi="Cheltenham-Book" w:cs="Cheltenham-Book"/>
          <w:color w:val="231F20"/>
          <w:sz w:val="18"/>
          <w:szCs w:val="18"/>
          <w:lang w:val="en-US"/>
        </w:rPr>
        <w:t>rehedges</w:t>
      </w:r>
      <w:proofErr w:type="spellEnd"/>
      <w:r w:rsidRPr="0046008A">
        <w:rPr>
          <w:rFonts w:ascii="Cheltenham-Book" w:eastAsia="MTMI" w:hAnsi="Cheltenham-Book" w:cs="Cheltenham-Book"/>
          <w:color w:val="231F20"/>
          <w:sz w:val="18"/>
          <w:szCs w:val="18"/>
          <w:lang w:val="en-US"/>
        </w:rPr>
        <w:t>. As explained above if we want to halve hedging</w:t>
      </w:r>
    </w:p>
    <w:p w:rsidR="0046008A" w:rsidRPr="0046008A" w:rsidRDefault="0046008A" w:rsidP="0046008A">
      <w:pPr>
        <w:autoSpaceDE w:val="0"/>
        <w:autoSpaceDN w:val="0"/>
        <w:adjustRightInd w:val="0"/>
        <w:spacing w:after="0" w:line="240" w:lineRule="auto"/>
        <w:rPr>
          <w:rFonts w:ascii="Cheltenham-Book" w:eastAsia="MTMI" w:hAnsi="Cheltenham-Book" w:cs="Cheltenham-Book"/>
          <w:color w:val="231F20"/>
          <w:sz w:val="18"/>
          <w:szCs w:val="18"/>
          <w:lang w:val="en-US"/>
        </w:rPr>
      </w:pPr>
      <w:r w:rsidRPr="0046008A">
        <w:rPr>
          <w:rFonts w:ascii="Cheltenham-Book" w:eastAsia="MTMI" w:hAnsi="Cheltenham-Book" w:cs="Cheltenham-Book"/>
          <w:color w:val="231F20"/>
          <w:sz w:val="18"/>
          <w:szCs w:val="18"/>
          <w:lang w:val="en-US"/>
        </w:rPr>
        <w:t>error we must hedge four times as often. But this</w:t>
      </w:r>
    </w:p>
    <w:p w:rsidR="0046008A" w:rsidRPr="0046008A" w:rsidRDefault="0046008A" w:rsidP="0046008A">
      <w:pPr>
        <w:autoSpaceDE w:val="0"/>
        <w:autoSpaceDN w:val="0"/>
        <w:adjustRightInd w:val="0"/>
        <w:spacing w:after="0" w:line="240" w:lineRule="auto"/>
        <w:rPr>
          <w:rFonts w:ascii="Cheltenham-Book" w:eastAsia="MTMI" w:hAnsi="Cheltenham-Book" w:cs="Cheltenham-Book"/>
          <w:color w:val="231F20"/>
          <w:sz w:val="18"/>
          <w:szCs w:val="18"/>
          <w:lang w:val="en-US"/>
        </w:rPr>
      </w:pPr>
      <w:r w:rsidRPr="0046008A">
        <w:rPr>
          <w:rFonts w:ascii="Cheltenham-Book" w:eastAsia="MTMI" w:hAnsi="Cheltenham-Book" w:cs="Cheltenham-Book"/>
          <w:color w:val="231F20"/>
          <w:sz w:val="18"/>
          <w:szCs w:val="18"/>
          <w:lang w:val="en-US"/>
        </w:rPr>
        <w:t>would double the effects of transaction costs.</w:t>
      </w:r>
    </w:p>
    <w:p w:rsidR="0046008A" w:rsidRPr="0046008A" w:rsidRDefault="0046008A" w:rsidP="0046008A">
      <w:pPr>
        <w:autoSpaceDE w:val="0"/>
        <w:autoSpaceDN w:val="0"/>
        <w:adjustRightInd w:val="0"/>
        <w:spacing w:after="0" w:line="240" w:lineRule="auto"/>
        <w:rPr>
          <w:rFonts w:ascii="Cheltenham-Book" w:eastAsia="MTMI" w:hAnsi="Cheltenham-Book" w:cs="Cheltenham-Book"/>
          <w:color w:val="231F20"/>
          <w:sz w:val="18"/>
          <w:szCs w:val="18"/>
          <w:lang w:val="en-US"/>
        </w:rPr>
      </w:pPr>
      <w:r w:rsidRPr="0046008A">
        <w:rPr>
          <w:rFonts w:ascii="Cheltenham-Book" w:eastAsia="MTMI" w:hAnsi="Cheltenham-Book" w:cs="Cheltenham-Book"/>
          <w:color w:val="231F20"/>
          <w:sz w:val="18"/>
          <w:szCs w:val="18"/>
          <w:lang w:val="en-US"/>
        </w:rPr>
        <w:t xml:space="preserve">In practice, people do not </w:t>
      </w:r>
      <w:proofErr w:type="spellStart"/>
      <w:r w:rsidRPr="0046008A">
        <w:rPr>
          <w:rFonts w:ascii="Cheltenham-Book" w:eastAsia="MTMI" w:hAnsi="Cheltenham-Book" w:cs="Cheltenham-Book"/>
          <w:color w:val="231F20"/>
          <w:sz w:val="18"/>
          <w:szCs w:val="18"/>
          <w:lang w:val="en-US"/>
        </w:rPr>
        <w:t>rehedge</w:t>
      </w:r>
      <w:proofErr w:type="spellEnd"/>
      <w:r w:rsidRPr="0046008A">
        <w:rPr>
          <w:rFonts w:ascii="Cheltenham-Book" w:eastAsia="MTMI" w:hAnsi="Cheltenham-Book" w:cs="Cheltenham-Book"/>
          <w:color w:val="231F20"/>
          <w:sz w:val="18"/>
          <w:szCs w:val="18"/>
          <w:lang w:val="en-US"/>
        </w:rPr>
        <w:t xml:space="preserve"> at fixed intervals,</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eastAsia="MTMI" w:hAnsi="Cheltenham-Book" w:cs="Cheltenham-Book"/>
          <w:color w:val="231F20"/>
          <w:sz w:val="18"/>
          <w:szCs w:val="18"/>
          <w:lang w:val="en-US"/>
        </w:rPr>
        <w:t>except perhaps just before market close. There are</w:t>
      </w:r>
      <w:r w:rsidRPr="0046008A">
        <w:rPr>
          <w:rFonts w:ascii="Cheltenham-Book" w:hAnsi="Cheltenham-Book" w:cs="Cheltenham-Book"/>
          <w:color w:val="231F20"/>
          <w:sz w:val="18"/>
          <w:szCs w:val="18"/>
          <w:lang w:val="en-US"/>
        </w:rPr>
        <w:t xml:space="preserve"> many other possible strategies involving hedging when</w:t>
      </w:r>
    </w:p>
    <w:p w:rsidR="0046008A" w:rsidRPr="0046008A" w:rsidRDefault="0046008A" w:rsidP="0046008A">
      <w:pPr>
        <w:autoSpaceDE w:val="0"/>
        <w:autoSpaceDN w:val="0"/>
        <w:adjustRightInd w:val="0"/>
        <w:spacing w:after="0" w:line="240" w:lineRule="auto"/>
        <w:rPr>
          <w:rFonts w:ascii="Cheltenham-Book" w:hAnsi="Cheltenham-Book" w:cs="Cheltenham-Book"/>
          <w:color w:val="231F20"/>
          <w:sz w:val="18"/>
          <w:szCs w:val="18"/>
          <w:lang w:val="en-US"/>
        </w:rPr>
      </w:pPr>
      <w:r w:rsidRPr="0046008A">
        <w:rPr>
          <w:rFonts w:ascii="Cheltenham-Book" w:hAnsi="Cheltenham-Book" w:cs="Cheltenham-Book"/>
          <w:color w:val="231F20"/>
          <w:sz w:val="18"/>
          <w:szCs w:val="18"/>
          <w:lang w:val="en-US"/>
        </w:rPr>
        <w:t>the underlying or delta moves a specified amount, or</w:t>
      </w:r>
    </w:p>
    <w:p w:rsidR="0046008A" w:rsidRPr="00754929" w:rsidRDefault="0046008A" w:rsidP="0046008A">
      <w:pPr>
        <w:spacing w:after="100" w:afterAutospacing="1" w:line="240" w:lineRule="auto"/>
        <w:rPr>
          <w:rFonts w:ascii="Helvetica" w:eastAsia="Times New Roman" w:hAnsi="Helvetica" w:cs="Helvetica"/>
          <w:b/>
          <w:color w:val="0A1B32"/>
          <w:sz w:val="27"/>
          <w:szCs w:val="27"/>
          <w:lang w:val="en-US" w:eastAsia="pl-PL"/>
        </w:rPr>
      </w:pPr>
      <w:r w:rsidRPr="0046008A">
        <w:rPr>
          <w:rFonts w:ascii="Cheltenham-Book" w:hAnsi="Cheltenham-Book" w:cs="Cheltenham-Book"/>
          <w:color w:val="231F20"/>
          <w:sz w:val="18"/>
          <w:szCs w:val="18"/>
          <w:lang w:val="en-US"/>
        </w:rPr>
        <w:t xml:space="preserve">even strategies involving </w:t>
      </w:r>
      <w:r w:rsidRPr="0046008A">
        <w:rPr>
          <w:rFonts w:ascii="Cheltenham-Bold" w:hAnsi="Cheltenham-Bold" w:cs="Cheltenham-Bold"/>
          <w:b/>
          <w:bCs/>
          <w:color w:val="231F20"/>
          <w:sz w:val="18"/>
          <w:szCs w:val="18"/>
          <w:lang w:val="en-US"/>
        </w:rPr>
        <w:t>utility theory</w:t>
      </w:r>
      <w:r w:rsidRPr="0046008A">
        <w:rPr>
          <w:rFonts w:ascii="Cheltenham-Book" w:hAnsi="Cheltenham-Book" w:cs="Cheltenham-Book"/>
          <w:color w:val="231F20"/>
          <w:sz w:val="18"/>
          <w:szCs w:val="18"/>
          <w:lang w:val="en-US"/>
        </w:rPr>
        <w:t>.</w:t>
      </w:r>
    </w:p>
    <w:p w:rsidR="00754929" w:rsidRDefault="00754929" w:rsidP="00F61CC3">
      <w:pPr>
        <w:spacing w:after="100" w:afterAutospacing="1" w:line="240" w:lineRule="auto"/>
        <w:jc w:val="both"/>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32. How would you hedge against a particular equity/bond under current market conditions?</w:t>
      </w:r>
    </w:p>
    <w:p w:rsidR="0028318B" w:rsidRPr="0028318B" w:rsidRDefault="0028318B" w:rsidP="0028318B">
      <w:pPr>
        <w:pStyle w:val="ListParagraph"/>
        <w:numPr>
          <w:ilvl w:val="0"/>
          <w:numId w:val="20"/>
        </w:num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28318B">
        <w:rPr>
          <w:rFonts w:ascii="Helvetica" w:eastAsia="Times New Roman" w:hAnsi="Helvetica" w:cs="Helvetica"/>
          <w:i/>
          <w:color w:val="0A1B32"/>
          <w:sz w:val="27"/>
          <w:szCs w:val="27"/>
          <w:lang w:val="en-US" w:eastAsia="pl-PL"/>
        </w:rPr>
        <w:t xml:space="preserve">You can hedge by buying put options at lower levels to protect your stock price. </w:t>
      </w:r>
    </w:p>
    <w:p w:rsidR="0028318B" w:rsidRPr="0028318B" w:rsidRDefault="0028318B" w:rsidP="0028318B">
      <w:pPr>
        <w:pStyle w:val="ListParagraph"/>
        <w:numPr>
          <w:ilvl w:val="0"/>
          <w:numId w:val="20"/>
        </w:num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28318B">
        <w:rPr>
          <w:rFonts w:ascii="Helvetica" w:eastAsia="Times New Roman" w:hAnsi="Helvetica" w:cs="Helvetica"/>
          <w:i/>
          <w:color w:val="0A1B32"/>
          <w:sz w:val="27"/>
          <w:szCs w:val="27"/>
          <w:lang w:val="en-US" w:eastAsia="pl-PL"/>
        </w:rPr>
        <w:t xml:space="preserve">You can also hedge by selling futures against your cash market holding. </w:t>
      </w:r>
    </w:p>
    <w:p w:rsidR="0028318B" w:rsidRPr="0028318B" w:rsidRDefault="0028318B" w:rsidP="0028318B">
      <w:pPr>
        <w:pStyle w:val="ListParagraph"/>
        <w:numPr>
          <w:ilvl w:val="0"/>
          <w:numId w:val="20"/>
        </w:num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28318B">
        <w:rPr>
          <w:rFonts w:ascii="Helvetica" w:eastAsia="Times New Roman" w:hAnsi="Helvetica" w:cs="Helvetica"/>
          <w:i/>
          <w:color w:val="0A1B32"/>
          <w:sz w:val="27"/>
          <w:szCs w:val="27"/>
          <w:lang w:val="en-US" w:eastAsia="pl-PL"/>
        </w:rPr>
        <w:t xml:space="preserve">If you are holding bonds, you can hedge by keeping duration the same as your time frame. This saves you from any interest risk. </w:t>
      </w:r>
    </w:p>
    <w:p w:rsidR="0028318B" w:rsidRPr="0028318B" w:rsidRDefault="0028318B" w:rsidP="0028318B">
      <w:pPr>
        <w:pStyle w:val="ListParagraph"/>
        <w:numPr>
          <w:ilvl w:val="0"/>
          <w:numId w:val="20"/>
        </w:num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28318B">
        <w:rPr>
          <w:rFonts w:ascii="Helvetica" w:eastAsia="Times New Roman" w:hAnsi="Helvetica" w:cs="Helvetica"/>
          <w:i/>
          <w:color w:val="0A1B32"/>
          <w:sz w:val="27"/>
          <w:szCs w:val="27"/>
          <w:lang w:val="en-US" w:eastAsia="pl-PL"/>
        </w:rPr>
        <w:t>Also, avoid risky bonds.</w:t>
      </w:r>
    </w:p>
    <w:p w:rsidR="0028318B" w:rsidRPr="00754929" w:rsidRDefault="0028318B" w:rsidP="00F61CC3">
      <w:pPr>
        <w:spacing w:after="100" w:afterAutospacing="1" w:line="240" w:lineRule="auto"/>
        <w:jc w:val="both"/>
        <w:rPr>
          <w:rFonts w:ascii="Helvetica" w:eastAsia="Times New Roman" w:hAnsi="Helvetica" w:cs="Helvetica"/>
          <w:b/>
          <w:color w:val="0A1B32"/>
          <w:sz w:val="27"/>
          <w:szCs w:val="27"/>
          <w:lang w:val="en-US" w:eastAsia="pl-PL"/>
        </w:rPr>
      </w:pPr>
    </w:p>
    <w:p w:rsidR="00754929" w:rsidRDefault="00754929" w:rsidP="00F61CC3">
      <w:pPr>
        <w:spacing w:after="100" w:afterAutospacing="1" w:line="240" w:lineRule="auto"/>
        <w:jc w:val="both"/>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33. When can hedging an options position mean that you take on more risk?</w:t>
      </w:r>
    </w:p>
    <w:p w:rsidR="00C4146A" w:rsidRPr="00C4146A" w:rsidRDefault="00C4146A" w:rsidP="00C4146A">
      <w:pPr>
        <w:pStyle w:val="ListParagraph"/>
        <w:numPr>
          <w:ilvl w:val="0"/>
          <w:numId w:val="20"/>
        </w:num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C4146A">
        <w:rPr>
          <w:rFonts w:ascii="Helvetica" w:eastAsia="Times New Roman" w:hAnsi="Helvetica" w:cs="Helvetica"/>
          <w:i/>
          <w:color w:val="0A1B32"/>
          <w:sz w:val="27"/>
          <w:szCs w:val="27"/>
          <w:lang w:val="en-US" w:eastAsia="pl-PL"/>
        </w:rPr>
        <w:t xml:space="preserve">Hedging an options position can become riskier if one side of the option position is left open. </w:t>
      </w:r>
    </w:p>
    <w:p w:rsidR="00C4146A" w:rsidRPr="00C4146A" w:rsidRDefault="00C4146A" w:rsidP="00C4146A">
      <w:pPr>
        <w:pStyle w:val="ListParagraph"/>
        <w:numPr>
          <w:ilvl w:val="0"/>
          <w:numId w:val="20"/>
        </w:num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C4146A">
        <w:rPr>
          <w:rFonts w:ascii="Helvetica" w:eastAsia="Times New Roman" w:hAnsi="Helvetica" w:cs="Helvetica"/>
          <w:i/>
          <w:color w:val="0A1B32"/>
          <w:sz w:val="27"/>
          <w:szCs w:val="27"/>
          <w:lang w:val="en-US" w:eastAsia="pl-PL"/>
        </w:rPr>
        <w:t xml:space="preserve">Also if you hedge through covered calls, it can be risky in the event of a fall in the stock price. </w:t>
      </w:r>
    </w:p>
    <w:p w:rsidR="00C4146A" w:rsidRDefault="00C4146A" w:rsidP="00C4146A">
      <w:pPr>
        <w:pStyle w:val="ListParagraph"/>
        <w:numPr>
          <w:ilvl w:val="0"/>
          <w:numId w:val="20"/>
        </w:num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C4146A">
        <w:rPr>
          <w:rFonts w:ascii="Helvetica" w:eastAsia="Times New Roman" w:hAnsi="Helvetica" w:cs="Helvetica"/>
          <w:i/>
          <w:color w:val="0A1B32"/>
          <w:sz w:val="27"/>
          <w:szCs w:val="27"/>
          <w:lang w:val="en-US" w:eastAsia="pl-PL"/>
        </w:rPr>
        <w:t>Normally, volatility is positive for options.</w:t>
      </w:r>
    </w:p>
    <w:p w:rsidR="00ED0905" w:rsidRDefault="00ED0905" w:rsidP="00ED0905">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p>
    <w:p w:rsidR="00ED0905" w:rsidRPr="00ED0905" w:rsidRDefault="00ED0905" w:rsidP="00ED0905">
      <w:pPr>
        <w:shd w:val="clear" w:color="auto" w:fill="FFFFFF"/>
        <w:spacing w:after="75" w:line="240" w:lineRule="auto"/>
        <w:jc w:val="both"/>
        <w:rPr>
          <w:rFonts w:ascii="Helvetica" w:eastAsia="Times New Roman" w:hAnsi="Helvetica" w:cs="Helvetica"/>
          <w:i/>
          <w:color w:val="0A1B32"/>
          <w:sz w:val="27"/>
          <w:szCs w:val="27"/>
          <w:lang w:val="en-US" w:eastAsia="pl-PL"/>
        </w:rPr>
      </w:pPr>
      <w:r w:rsidRPr="00ED0905">
        <w:rPr>
          <w:rFonts w:ascii="Helvetica" w:eastAsia="Times New Roman" w:hAnsi="Helvetica" w:cs="Helvetica"/>
          <w:i/>
          <w:color w:val="0A1B32"/>
          <w:sz w:val="27"/>
          <w:szCs w:val="27"/>
          <w:lang w:val="en-US" w:eastAsia="pl-PL"/>
        </w:rPr>
        <w:t>1. Hedging an options position can become riskier if one side of the option position is left open. Also if you hedge through covered calls, it can be risky in the event of a fall in the stock price. Normally, volatility is positive for options.</w:t>
      </w:r>
    </w:p>
    <w:p w:rsidR="00ED0905" w:rsidRPr="00ED0905" w:rsidRDefault="00ED0905" w:rsidP="00ED0905">
      <w:pPr>
        <w:jc w:val="both"/>
        <w:rPr>
          <w:rFonts w:ascii="Helvetica" w:eastAsia="Times New Roman" w:hAnsi="Helvetica" w:cs="Helvetica"/>
          <w:i/>
          <w:color w:val="0A1B32"/>
          <w:sz w:val="27"/>
          <w:szCs w:val="27"/>
          <w:lang w:val="en-US" w:eastAsia="pl-PL"/>
        </w:rPr>
      </w:pPr>
      <w:r w:rsidRPr="00ED0905">
        <w:rPr>
          <w:rFonts w:ascii="Helvetica" w:eastAsia="Times New Roman" w:hAnsi="Helvetica" w:cs="Helvetica"/>
          <w:i/>
          <w:color w:val="0A1B32"/>
          <w:sz w:val="27"/>
          <w:szCs w:val="27"/>
          <w:lang w:val="en-US" w:eastAsia="pl-PL"/>
        </w:rPr>
        <w:t>2. Hedging can increase your risk if you are forced to both buy short-dated options and hedge them.</w:t>
      </w:r>
    </w:p>
    <w:p w:rsidR="00ED0905" w:rsidRPr="00ED0905" w:rsidRDefault="00ED0905" w:rsidP="00ED0905">
      <w:pPr>
        <w:shd w:val="clear" w:color="auto" w:fill="FFFFFF"/>
        <w:spacing w:after="75" w:line="240" w:lineRule="auto"/>
        <w:jc w:val="both"/>
        <w:rPr>
          <w:rFonts w:ascii="Helvetica" w:eastAsia="Times New Roman" w:hAnsi="Helvetica" w:cs="Helvetica"/>
          <w:i/>
          <w:color w:val="0A1B32"/>
          <w:sz w:val="27"/>
          <w:szCs w:val="27"/>
          <w:lang w:val="en-US" w:eastAsia="pl-PL"/>
        </w:rPr>
      </w:pPr>
      <w:r w:rsidRPr="00ED0905">
        <w:rPr>
          <w:rFonts w:ascii="Helvetica" w:eastAsia="Times New Roman" w:hAnsi="Helvetica" w:cs="Helvetica"/>
          <w:i/>
          <w:color w:val="0A1B32"/>
          <w:sz w:val="27"/>
          <w:szCs w:val="27"/>
          <w:lang w:val="en-US" w:eastAsia="pl-PL"/>
        </w:rPr>
        <w:t xml:space="preserve">3. E.g. on Monday you get forced to buy some Friday expiry OTM puts, say 95% strike S&amp;P weeklies. Of course, you go and buy some delta against them to "hedge" yourself. Next thing you know, the </w:t>
      </w:r>
      <w:proofErr w:type="spellStart"/>
      <w:r w:rsidRPr="00ED0905">
        <w:rPr>
          <w:rFonts w:ascii="Helvetica" w:eastAsia="Times New Roman" w:hAnsi="Helvetica" w:cs="Helvetica"/>
          <w:i/>
          <w:color w:val="0A1B32"/>
          <w:sz w:val="27"/>
          <w:szCs w:val="27"/>
          <w:lang w:val="en-US" w:eastAsia="pl-PL"/>
        </w:rPr>
        <w:t>the</w:t>
      </w:r>
      <w:proofErr w:type="spellEnd"/>
      <w:r w:rsidRPr="00ED0905">
        <w:rPr>
          <w:rFonts w:ascii="Helvetica" w:eastAsia="Times New Roman" w:hAnsi="Helvetica" w:cs="Helvetica"/>
          <w:i/>
          <w:color w:val="0A1B32"/>
          <w:sz w:val="27"/>
          <w:szCs w:val="27"/>
          <w:lang w:val="en-US" w:eastAsia="pl-PL"/>
        </w:rPr>
        <w:t xml:space="preserve"> market tanks. Unfortunately, by Friday it's only down 3.5%, so it's does not fall far enough </w:t>
      </w:r>
      <w:r w:rsidRPr="00ED0905">
        <w:rPr>
          <w:rFonts w:ascii="Helvetica" w:eastAsia="Times New Roman" w:hAnsi="Helvetica" w:cs="Helvetica"/>
          <w:i/>
          <w:color w:val="0A1B32"/>
          <w:sz w:val="27"/>
          <w:szCs w:val="27"/>
          <w:lang w:val="en-US" w:eastAsia="pl-PL"/>
        </w:rPr>
        <w:lastRenderedPageBreak/>
        <w:t>to reach the strike. So, on Friday expiration, you are out your premium and down money on your delta.</w:t>
      </w:r>
    </w:p>
    <w:p w:rsidR="00ED0905" w:rsidRPr="00ED0905" w:rsidRDefault="00ED0905" w:rsidP="00ED0905">
      <w:pPr>
        <w:shd w:val="clear" w:color="auto" w:fill="FFFFFF"/>
        <w:spacing w:after="75" w:line="240" w:lineRule="auto"/>
        <w:jc w:val="both"/>
        <w:rPr>
          <w:rFonts w:ascii="Helvetica" w:eastAsia="Times New Roman" w:hAnsi="Helvetica" w:cs="Helvetica"/>
          <w:i/>
          <w:color w:val="0A1B32"/>
          <w:sz w:val="27"/>
          <w:szCs w:val="27"/>
          <w:lang w:val="en-US" w:eastAsia="pl-PL"/>
        </w:rPr>
      </w:pPr>
      <w:r w:rsidRPr="00ED0905">
        <w:rPr>
          <w:rFonts w:ascii="Helvetica" w:eastAsia="Times New Roman" w:hAnsi="Helvetica" w:cs="Helvetica"/>
          <w:i/>
          <w:color w:val="0A1B32"/>
          <w:sz w:val="27"/>
          <w:szCs w:val="27"/>
          <w:lang w:val="en-US" w:eastAsia="pl-PL"/>
        </w:rPr>
        <w:t xml:space="preserve">Overall, it's a pretty typical "painful moment" for a market maker. Usually, in this case you are better off selling some </w:t>
      </w:r>
      <w:proofErr w:type="spellStart"/>
      <w:r w:rsidRPr="00ED0905">
        <w:rPr>
          <w:rFonts w:ascii="Helvetica" w:eastAsia="Times New Roman" w:hAnsi="Helvetica" w:cs="Helvetica"/>
          <w:i/>
          <w:color w:val="0A1B32"/>
          <w:sz w:val="27"/>
          <w:szCs w:val="27"/>
          <w:lang w:val="en-US" w:eastAsia="pl-PL"/>
        </w:rPr>
        <w:t>ATMish</w:t>
      </w:r>
      <w:proofErr w:type="spellEnd"/>
      <w:r w:rsidRPr="00ED0905">
        <w:rPr>
          <w:rFonts w:ascii="Helvetica" w:eastAsia="Times New Roman" w:hAnsi="Helvetica" w:cs="Helvetica"/>
          <w:i/>
          <w:color w:val="0A1B32"/>
          <w:sz w:val="27"/>
          <w:szCs w:val="27"/>
          <w:lang w:val="en-US" w:eastAsia="pl-PL"/>
        </w:rPr>
        <w:t xml:space="preserve"> gamma and leaving the </w:t>
      </w:r>
      <w:proofErr w:type="spellStart"/>
      <w:r w:rsidRPr="00ED0905">
        <w:rPr>
          <w:rFonts w:ascii="Helvetica" w:eastAsia="Times New Roman" w:hAnsi="Helvetica" w:cs="Helvetica"/>
          <w:i/>
          <w:color w:val="0A1B32"/>
          <w:sz w:val="27"/>
          <w:szCs w:val="27"/>
          <w:lang w:val="en-US" w:eastAsia="pl-PL"/>
        </w:rPr>
        <w:t>tinys</w:t>
      </w:r>
      <w:proofErr w:type="spellEnd"/>
      <w:r w:rsidRPr="00ED0905">
        <w:rPr>
          <w:rFonts w:ascii="Helvetica" w:eastAsia="Times New Roman" w:hAnsi="Helvetica" w:cs="Helvetica"/>
          <w:i/>
          <w:color w:val="0A1B32"/>
          <w:sz w:val="27"/>
          <w:szCs w:val="27"/>
          <w:lang w:val="en-US" w:eastAsia="pl-PL"/>
        </w:rPr>
        <w:t xml:space="preserve"> to decay in peace. Should the market really take a dive, you got some lottery tickets.</w:t>
      </w:r>
    </w:p>
    <w:p w:rsidR="00ED0905" w:rsidRPr="00ED0905" w:rsidRDefault="00ED0905" w:rsidP="00ED0905">
      <w:pPr>
        <w:shd w:val="clear" w:color="auto" w:fill="FFFFFF"/>
        <w:spacing w:after="75" w:line="240" w:lineRule="auto"/>
        <w:jc w:val="both"/>
        <w:rPr>
          <w:rFonts w:ascii="Helvetica" w:eastAsia="Times New Roman" w:hAnsi="Helvetica" w:cs="Helvetica"/>
          <w:i/>
          <w:color w:val="0A1B32"/>
          <w:sz w:val="27"/>
          <w:szCs w:val="27"/>
          <w:lang w:val="en-US" w:eastAsia="pl-PL"/>
        </w:rPr>
      </w:pPr>
      <w:r w:rsidRPr="00ED0905">
        <w:rPr>
          <w:rFonts w:ascii="Helvetica" w:eastAsia="Times New Roman" w:hAnsi="Helvetica" w:cs="Helvetica"/>
          <w:i/>
          <w:color w:val="0A1B32"/>
          <w:sz w:val="27"/>
          <w:szCs w:val="27"/>
          <w:lang w:val="en-US" w:eastAsia="pl-PL"/>
        </w:rPr>
        <w:t>4. Hedging does not increase your risk in this particular example: You take on delta exposure by buying the short dated option outright. Thus buying/selling underlying (put/call) in any case will reduce your delta exposure, hence risk of changes in the underlying, given you hedge the right amount and at the right timing (this is venture is impossible to generalize as it applies differently to each case). Now, you are long gamma but being long gamma does not guarantee at all that you end up better off not hedging initially. If your boss instructs you to be at all times almost perfectly delta hedged (most French bosses are anal about this, probably because they are horrible delta traders) then you hedge, period. It reduces your delta exposure, hence risk in moves in the underlying. It is complete nonsense to start arguing in retrospect that no hedge may have resulted in a better payoff because the underlying followed a price path not anticipated earlier.</w:t>
      </w:r>
    </w:p>
    <w:p w:rsidR="00ED0905" w:rsidRDefault="00ED0905" w:rsidP="00ED0905">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r w:rsidRPr="00ED0905">
        <w:rPr>
          <w:rFonts w:ascii="Helvetica" w:eastAsia="Times New Roman" w:hAnsi="Helvetica" w:cs="Helvetica"/>
          <w:i/>
          <w:color w:val="0A1B32"/>
          <w:sz w:val="27"/>
          <w:szCs w:val="27"/>
          <w:lang w:val="en-US" w:eastAsia="pl-PL"/>
        </w:rPr>
        <w:t xml:space="preserve">I concur with Strange that there are often better ways to hedge than always going through the underlying but I disagree with him that it poses a "painful moment" to market markers. Market makers who are dependent on the market moving in specific ways are probably very bad volatility traders. Your job as market maker is to earn money from the bid/offer spread and to reduce your risk exposure to lower moment </w:t>
      </w:r>
      <w:proofErr w:type="spellStart"/>
      <w:r w:rsidRPr="00ED0905">
        <w:rPr>
          <w:rFonts w:ascii="Helvetica" w:eastAsia="Times New Roman" w:hAnsi="Helvetica" w:cs="Helvetica"/>
          <w:i/>
          <w:color w:val="0A1B32"/>
          <w:sz w:val="27"/>
          <w:szCs w:val="27"/>
          <w:lang w:val="en-US" w:eastAsia="pl-PL"/>
        </w:rPr>
        <w:t>greeks</w:t>
      </w:r>
      <w:proofErr w:type="spellEnd"/>
      <w:r w:rsidRPr="00ED0905">
        <w:rPr>
          <w:rFonts w:ascii="Helvetica" w:eastAsia="Times New Roman" w:hAnsi="Helvetica" w:cs="Helvetica"/>
          <w:i/>
          <w:color w:val="0A1B32"/>
          <w:sz w:val="27"/>
          <w:szCs w:val="27"/>
          <w:lang w:val="en-US" w:eastAsia="pl-PL"/>
        </w:rPr>
        <w:t xml:space="preserve">, given it is feasible and cost-efficient. The other times you, as market maker, attempt to benefit from what you perceive as </w:t>
      </w:r>
      <w:proofErr w:type="spellStart"/>
      <w:r w:rsidRPr="00ED0905">
        <w:rPr>
          <w:rFonts w:ascii="Helvetica" w:eastAsia="Times New Roman" w:hAnsi="Helvetica" w:cs="Helvetica"/>
          <w:i/>
          <w:color w:val="0A1B32"/>
          <w:sz w:val="27"/>
          <w:szCs w:val="27"/>
          <w:lang w:val="en-US" w:eastAsia="pl-PL"/>
        </w:rPr>
        <w:t>mispricings</w:t>
      </w:r>
      <w:proofErr w:type="spellEnd"/>
      <w:r w:rsidRPr="00ED0905">
        <w:rPr>
          <w:rFonts w:ascii="Helvetica" w:eastAsia="Times New Roman" w:hAnsi="Helvetica" w:cs="Helvetica"/>
          <w:i/>
          <w:color w:val="0A1B32"/>
          <w:sz w:val="27"/>
          <w:szCs w:val="27"/>
          <w:lang w:val="en-US" w:eastAsia="pl-PL"/>
        </w:rPr>
        <w:t xml:space="preserve"> in the option valuation. Thus, hedging the long options position with the underlying reduces your risk, period. There are obviously exceptions to this, for example, when the underlying is so extremely illiquid that it would be prohibitive to hedge/re-hedge frequently. But it has to really be analyzed in context. But if the interview book looked for a straight forward answer which applies to most cases then hedging reduces your risk, simple as that.</w:t>
      </w:r>
    </w:p>
    <w:p w:rsidR="00ED0905" w:rsidRPr="00ED0905" w:rsidRDefault="00ED0905" w:rsidP="00ED0905">
      <w:pPr>
        <w:autoSpaceDE w:val="0"/>
        <w:autoSpaceDN w:val="0"/>
        <w:adjustRightInd w:val="0"/>
        <w:spacing w:after="0" w:line="240" w:lineRule="auto"/>
        <w:jc w:val="both"/>
        <w:rPr>
          <w:rFonts w:ascii="Helvetica" w:eastAsia="Times New Roman" w:hAnsi="Helvetica" w:cs="Helvetica"/>
          <w:i/>
          <w:color w:val="0A1B32"/>
          <w:sz w:val="27"/>
          <w:szCs w:val="27"/>
          <w:lang w:val="en-US" w:eastAsia="pl-PL"/>
        </w:rPr>
      </w:pP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34. An option is at the money. How many shares of stock should you hold to hedge it?</w:t>
      </w:r>
    </w:p>
    <w:p w:rsidR="00FD318C" w:rsidRDefault="00FD318C" w:rsidP="00FD318C">
      <w:pPr>
        <w:jc w:val="both"/>
        <w:rPr>
          <w:rFonts w:ascii="Helvetica" w:eastAsia="Times New Roman" w:hAnsi="Helvetica" w:cs="Helvetica"/>
          <w:i/>
          <w:color w:val="0A1B32"/>
          <w:sz w:val="27"/>
          <w:szCs w:val="27"/>
          <w:lang w:val="en-US" w:eastAsia="pl-PL"/>
        </w:rPr>
      </w:pPr>
      <w:r w:rsidRPr="00FD318C">
        <w:rPr>
          <w:rFonts w:ascii="Helvetica" w:eastAsia="Times New Roman" w:hAnsi="Helvetica" w:cs="Helvetica"/>
          <w:i/>
          <w:color w:val="0A1B32"/>
          <w:sz w:val="27"/>
          <w:szCs w:val="27"/>
          <w:lang w:val="en-US" w:eastAsia="pl-PL"/>
        </w:rPr>
        <w:t xml:space="preserve">For example, suppose you buy 15 call option contracts with a delta of 0.2. You are long delta, so you must sell deltas to create a delta-neutral position. Next, you need to find the quantity of the underlying asset you need to hedge. To find the delta hedge quantity, you multiply the absolute value of the delta by the number of option contracts and multiply that by 100 (each option contract controls 100 shares of stock). In this case, the quantity is 300, or </w:t>
      </w:r>
      <w:r w:rsidRPr="00FD318C">
        <w:rPr>
          <w:rFonts w:ascii="Helvetica" w:eastAsia="Times New Roman" w:hAnsi="Helvetica" w:cs="Helvetica"/>
          <w:i/>
          <w:color w:val="0A1B32"/>
          <w:sz w:val="27"/>
          <w:szCs w:val="27"/>
          <w:lang w:val="en-US" w:eastAsia="pl-PL"/>
        </w:rPr>
        <w:lastRenderedPageBreak/>
        <w:t>equal to (0.20 x 15 x 100). Therefore, you must sell this amount of the underlying asset to be delta neutral.</w:t>
      </w:r>
    </w:p>
    <w:p w:rsidR="00A27F7B" w:rsidRPr="00FD318C" w:rsidRDefault="00A27F7B" w:rsidP="00FD318C">
      <w:pPr>
        <w:jc w:val="both"/>
        <w:rPr>
          <w:rFonts w:ascii="Helvetica" w:eastAsia="Times New Roman" w:hAnsi="Helvetica" w:cs="Helvetica"/>
          <w:i/>
          <w:color w:val="0A1B32"/>
          <w:sz w:val="27"/>
          <w:szCs w:val="27"/>
          <w:lang w:val="en-US" w:eastAsia="pl-PL"/>
        </w:rPr>
      </w:pPr>
      <w:r>
        <w:rPr>
          <w:rFonts w:ascii="Helvetica" w:eastAsia="Times New Roman" w:hAnsi="Helvetica" w:cs="Helvetica"/>
          <w:i/>
          <w:color w:val="0A1B32"/>
          <w:sz w:val="27"/>
          <w:szCs w:val="27"/>
          <w:lang w:val="en-US" w:eastAsia="pl-PL"/>
        </w:rPr>
        <w:t>OR: -Delta number of shares</w:t>
      </w:r>
    </w:p>
    <w:p w:rsidR="00FD318C" w:rsidRPr="00754929" w:rsidRDefault="00FD318C" w:rsidP="00754929">
      <w:pPr>
        <w:spacing w:after="100" w:afterAutospacing="1" w:line="240" w:lineRule="auto"/>
        <w:rPr>
          <w:rFonts w:ascii="Helvetica" w:eastAsia="Times New Roman" w:hAnsi="Helvetica" w:cs="Helvetica"/>
          <w:b/>
          <w:color w:val="0A1B32"/>
          <w:sz w:val="27"/>
          <w:szCs w:val="27"/>
          <w:lang w:val="en-US" w:eastAsia="pl-PL"/>
        </w:rPr>
      </w:pPr>
    </w:p>
    <w:p w:rsidR="00754929" w:rsidRPr="00754929" w:rsidRDefault="00754929" w:rsidP="00754929">
      <w:pPr>
        <w:spacing w:after="100" w:afterAutospacing="1" w:line="240" w:lineRule="auto"/>
        <w:outlineLvl w:val="2"/>
        <w:rPr>
          <w:rFonts w:ascii="Helvetica" w:eastAsia="Times New Roman" w:hAnsi="Helvetica" w:cs="Helvetica"/>
          <w:b/>
          <w:color w:val="0A1B32"/>
          <w:sz w:val="27"/>
          <w:szCs w:val="27"/>
          <w:lang w:val="en-US" w:eastAsia="pl-PL"/>
        </w:rPr>
      </w:pPr>
      <w:r w:rsidRPr="00922D64">
        <w:rPr>
          <w:rFonts w:ascii="Helvetica" w:eastAsia="Times New Roman" w:hAnsi="Helvetica" w:cs="Helvetica"/>
          <w:b/>
          <w:bCs/>
          <w:color w:val="0A1B32"/>
          <w:sz w:val="27"/>
          <w:szCs w:val="27"/>
          <w:lang w:val="en-US" w:eastAsia="pl-PL"/>
        </w:rPr>
        <w:t>Questions on particular products:</w:t>
      </w:r>
    </w:p>
    <w:p w:rsidR="00754929" w:rsidRDefault="00754929" w:rsidP="00754929">
      <w:pPr>
        <w:spacing w:after="100" w:afterAutospacing="1" w:line="240" w:lineRule="auto"/>
        <w:rPr>
          <w:rFonts w:ascii="Helvetica" w:eastAsia="Times New Roman" w:hAnsi="Helvetica" w:cs="Helvetica"/>
          <w:b/>
          <w:color w:val="0A1B32"/>
          <w:sz w:val="27"/>
          <w:szCs w:val="27"/>
          <w:lang w:val="en-US" w:eastAsia="pl-PL"/>
        </w:rPr>
      </w:pPr>
      <w:r w:rsidRPr="00754929">
        <w:rPr>
          <w:rFonts w:ascii="Helvetica" w:eastAsia="Times New Roman" w:hAnsi="Helvetica" w:cs="Helvetica"/>
          <w:b/>
          <w:color w:val="0A1B32"/>
          <w:sz w:val="27"/>
          <w:szCs w:val="27"/>
          <w:lang w:val="en-US" w:eastAsia="pl-PL"/>
        </w:rPr>
        <w:t>35. What is interest rate risk?</w:t>
      </w:r>
    </w:p>
    <w:p w:rsidR="00CC3674" w:rsidRPr="00CC3674" w:rsidRDefault="00CC3674" w:rsidP="00CC3674">
      <w:pPr>
        <w:spacing w:after="100" w:afterAutospacing="1" w:line="240" w:lineRule="auto"/>
        <w:jc w:val="both"/>
        <w:rPr>
          <w:rFonts w:ascii="Helvetica" w:eastAsia="Times New Roman" w:hAnsi="Helvetica" w:cs="Helvetica"/>
          <w:i/>
          <w:color w:val="0A1B32"/>
          <w:sz w:val="27"/>
          <w:szCs w:val="27"/>
          <w:lang w:val="en-US" w:eastAsia="pl-PL"/>
        </w:rPr>
      </w:pPr>
      <w:r w:rsidRPr="00CC3674">
        <w:rPr>
          <w:rFonts w:ascii="Helvetica" w:eastAsia="Times New Roman" w:hAnsi="Helvetica" w:cs="Helvetica"/>
          <w:i/>
          <w:color w:val="0A1B32"/>
          <w:sz w:val="27"/>
          <w:szCs w:val="27"/>
          <w:lang w:val="en-US" w:eastAsia="pl-PL"/>
        </w:rPr>
        <w:t>Interest rate risk in the banking book (IRRBB) refers to the current or prospective risk to the bank’s capital and earnings arising from adverse movements in interest rates that affect the bank’s banking book positions. When interest rates change, the present value and timing of future cash flows change. This in turn changes the underlying value of a bank’s assets, liabilities and off-balance sheet items and hence its economic value. Changes in interest rates also affect a bank’s earnings by altering interest rate-sensitive income and expenses, affecting its net interest income (NII). Excessive IRRBB can pose a significant threat to a bank’s current capital base and/or future earnings if not managed appropriately. A more detailed description of IRRBB and its management techniques can be found in SRP98.</w:t>
      </w:r>
    </w:p>
    <w:p w:rsidR="00CC3674" w:rsidRPr="00CC3674" w:rsidRDefault="00CC3674" w:rsidP="00CC3674">
      <w:pPr>
        <w:spacing w:after="100" w:afterAutospacing="1" w:line="240" w:lineRule="auto"/>
        <w:jc w:val="both"/>
        <w:rPr>
          <w:rFonts w:ascii="Helvetica" w:eastAsia="Times New Roman" w:hAnsi="Helvetica" w:cs="Helvetica"/>
          <w:i/>
          <w:color w:val="0A1B32"/>
          <w:sz w:val="27"/>
          <w:szCs w:val="27"/>
          <w:lang w:val="en-US" w:eastAsia="pl-PL"/>
        </w:rPr>
      </w:pPr>
      <w:r w:rsidRPr="00CC3674">
        <w:rPr>
          <w:rFonts w:ascii="Helvetica" w:eastAsia="Times New Roman" w:hAnsi="Helvetica" w:cs="Helvetica"/>
          <w:i/>
          <w:color w:val="0A1B32"/>
          <w:sz w:val="27"/>
          <w:szCs w:val="27"/>
          <w:lang w:val="en-US" w:eastAsia="pl-PL"/>
        </w:rPr>
        <w:t>31.2</w:t>
      </w:r>
    </w:p>
    <w:p w:rsidR="00CC3674" w:rsidRPr="00CC3674" w:rsidRDefault="00CC3674" w:rsidP="00CC3674">
      <w:pPr>
        <w:spacing w:after="100" w:afterAutospacing="1" w:line="240" w:lineRule="auto"/>
        <w:jc w:val="both"/>
        <w:rPr>
          <w:rFonts w:ascii="Helvetica" w:eastAsia="Times New Roman" w:hAnsi="Helvetica" w:cs="Helvetica"/>
          <w:i/>
          <w:color w:val="0A1B32"/>
          <w:sz w:val="27"/>
          <w:szCs w:val="27"/>
          <w:lang w:val="en-US" w:eastAsia="pl-PL"/>
        </w:rPr>
      </w:pPr>
      <w:r w:rsidRPr="00CC3674">
        <w:rPr>
          <w:rFonts w:ascii="Helvetica" w:eastAsia="Times New Roman" w:hAnsi="Helvetica" w:cs="Helvetica"/>
          <w:i/>
          <w:color w:val="0A1B32"/>
          <w:sz w:val="27"/>
          <w:szCs w:val="27"/>
          <w:lang w:val="en-US" w:eastAsia="pl-PL"/>
        </w:rPr>
        <w:t>Three main sub-types of IRRBB are defined for the purposes of this chapter. All three sub-types of IRRBB potentially change the price/value or earnings/costs of interest rate-sensitive assets, liabilities and/or off-balance sheet items in a way, or at a time, that can adversely affect a bank’s financial condition.</w:t>
      </w:r>
    </w:p>
    <w:p w:rsidR="00CC3674" w:rsidRPr="00CC3674" w:rsidRDefault="00CC3674" w:rsidP="00CC3674">
      <w:pPr>
        <w:spacing w:after="100" w:afterAutospacing="1" w:line="240" w:lineRule="auto"/>
        <w:jc w:val="both"/>
        <w:rPr>
          <w:rFonts w:ascii="Helvetica" w:eastAsia="Times New Roman" w:hAnsi="Helvetica" w:cs="Helvetica"/>
          <w:i/>
          <w:color w:val="0A1B32"/>
          <w:sz w:val="27"/>
          <w:szCs w:val="27"/>
          <w:lang w:val="en-US" w:eastAsia="pl-PL"/>
        </w:rPr>
      </w:pPr>
      <w:r w:rsidRPr="00CC3674">
        <w:rPr>
          <w:rFonts w:ascii="Helvetica" w:eastAsia="Times New Roman" w:hAnsi="Helvetica" w:cs="Helvetica"/>
          <w:i/>
          <w:color w:val="0A1B32"/>
          <w:sz w:val="27"/>
          <w:szCs w:val="27"/>
          <w:lang w:val="en-US" w:eastAsia="pl-PL"/>
        </w:rPr>
        <w:t>(1)</w:t>
      </w:r>
      <w:r w:rsidRPr="00CC3674">
        <w:rPr>
          <w:rFonts w:ascii="Helvetica" w:eastAsia="Times New Roman" w:hAnsi="Helvetica" w:cs="Helvetica"/>
          <w:i/>
          <w:color w:val="0A1B32"/>
          <w:sz w:val="27"/>
          <w:szCs w:val="27"/>
          <w:lang w:val="en-US" w:eastAsia="pl-PL"/>
        </w:rPr>
        <w:tab/>
      </w:r>
    </w:p>
    <w:p w:rsidR="00CC3674" w:rsidRPr="00CC3674" w:rsidRDefault="00CC3674" w:rsidP="00CC3674">
      <w:pPr>
        <w:spacing w:after="100" w:afterAutospacing="1" w:line="240" w:lineRule="auto"/>
        <w:jc w:val="both"/>
        <w:rPr>
          <w:rFonts w:ascii="Helvetica" w:eastAsia="Times New Roman" w:hAnsi="Helvetica" w:cs="Helvetica"/>
          <w:i/>
          <w:color w:val="0A1B32"/>
          <w:sz w:val="27"/>
          <w:szCs w:val="27"/>
          <w:lang w:val="en-US" w:eastAsia="pl-PL"/>
        </w:rPr>
      </w:pPr>
      <w:r w:rsidRPr="00CC3674">
        <w:rPr>
          <w:rFonts w:ascii="Helvetica" w:eastAsia="Times New Roman" w:hAnsi="Helvetica" w:cs="Helvetica"/>
          <w:b/>
          <w:i/>
          <w:color w:val="0A1B32"/>
          <w:sz w:val="27"/>
          <w:szCs w:val="27"/>
          <w:lang w:val="en-US" w:eastAsia="pl-PL"/>
        </w:rPr>
        <w:t>Gap risk</w:t>
      </w:r>
      <w:r w:rsidRPr="00CC3674">
        <w:rPr>
          <w:rFonts w:ascii="Helvetica" w:eastAsia="Times New Roman" w:hAnsi="Helvetica" w:cs="Helvetica"/>
          <w:i/>
          <w:color w:val="0A1B32"/>
          <w:sz w:val="27"/>
          <w:szCs w:val="27"/>
          <w:lang w:val="en-US" w:eastAsia="pl-PL"/>
        </w:rPr>
        <w:t xml:space="preserve"> arises from the term structure of banking book instruments, and describes the risk arising from the timing of instruments’ rate changes. The extent of gap risk depends on whether changes to the term structure of interest rates occur consistently across the yield curve (parallel risk) or differentially by period (non-parallel risk).</w:t>
      </w:r>
    </w:p>
    <w:p w:rsidR="00CC3674" w:rsidRPr="00CC3674" w:rsidRDefault="00CC3674" w:rsidP="00CC3674">
      <w:pPr>
        <w:spacing w:after="100" w:afterAutospacing="1" w:line="240" w:lineRule="auto"/>
        <w:jc w:val="both"/>
        <w:rPr>
          <w:rFonts w:ascii="Helvetica" w:eastAsia="Times New Roman" w:hAnsi="Helvetica" w:cs="Helvetica"/>
          <w:i/>
          <w:color w:val="0A1B32"/>
          <w:sz w:val="27"/>
          <w:szCs w:val="27"/>
          <w:lang w:val="en-US" w:eastAsia="pl-PL"/>
        </w:rPr>
      </w:pPr>
      <w:r w:rsidRPr="00CC3674">
        <w:rPr>
          <w:rFonts w:ascii="Helvetica" w:eastAsia="Times New Roman" w:hAnsi="Helvetica" w:cs="Helvetica"/>
          <w:i/>
          <w:color w:val="0A1B32"/>
          <w:sz w:val="27"/>
          <w:szCs w:val="27"/>
          <w:lang w:val="en-US" w:eastAsia="pl-PL"/>
        </w:rPr>
        <w:t>(2)</w:t>
      </w:r>
      <w:r w:rsidRPr="00CC3674">
        <w:rPr>
          <w:rFonts w:ascii="Helvetica" w:eastAsia="Times New Roman" w:hAnsi="Helvetica" w:cs="Helvetica"/>
          <w:i/>
          <w:color w:val="0A1B32"/>
          <w:sz w:val="27"/>
          <w:szCs w:val="27"/>
          <w:lang w:val="en-US" w:eastAsia="pl-PL"/>
        </w:rPr>
        <w:tab/>
      </w:r>
    </w:p>
    <w:p w:rsidR="00CC3674" w:rsidRPr="00CC3674" w:rsidRDefault="00CC3674" w:rsidP="00CC3674">
      <w:pPr>
        <w:spacing w:after="100" w:afterAutospacing="1" w:line="240" w:lineRule="auto"/>
        <w:jc w:val="both"/>
        <w:rPr>
          <w:rFonts w:ascii="Helvetica" w:eastAsia="Times New Roman" w:hAnsi="Helvetica" w:cs="Helvetica"/>
          <w:i/>
          <w:color w:val="0A1B32"/>
          <w:sz w:val="27"/>
          <w:szCs w:val="27"/>
          <w:lang w:val="en-US" w:eastAsia="pl-PL"/>
        </w:rPr>
      </w:pPr>
      <w:r w:rsidRPr="00CC3674">
        <w:rPr>
          <w:rFonts w:ascii="Helvetica" w:eastAsia="Times New Roman" w:hAnsi="Helvetica" w:cs="Helvetica"/>
          <w:b/>
          <w:i/>
          <w:color w:val="0A1B32"/>
          <w:sz w:val="27"/>
          <w:szCs w:val="27"/>
          <w:lang w:val="en-US" w:eastAsia="pl-PL"/>
        </w:rPr>
        <w:t>Basis risk</w:t>
      </w:r>
      <w:r w:rsidRPr="00CC3674">
        <w:rPr>
          <w:rFonts w:ascii="Helvetica" w:eastAsia="Times New Roman" w:hAnsi="Helvetica" w:cs="Helvetica"/>
          <w:i/>
          <w:color w:val="0A1B32"/>
          <w:sz w:val="27"/>
          <w:szCs w:val="27"/>
          <w:lang w:val="en-US" w:eastAsia="pl-PL"/>
        </w:rPr>
        <w:t xml:space="preserve"> describes the impact of relative changes in interest rates for financial instruments that have similar tenors but are priced using different interest rate indices.</w:t>
      </w:r>
    </w:p>
    <w:p w:rsidR="00CC3674" w:rsidRPr="00CC3674" w:rsidRDefault="00CC3674" w:rsidP="00CC3674">
      <w:pPr>
        <w:spacing w:after="100" w:afterAutospacing="1" w:line="240" w:lineRule="auto"/>
        <w:jc w:val="both"/>
        <w:rPr>
          <w:rFonts w:ascii="Helvetica" w:eastAsia="Times New Roman" w:hAnsi="Helvetica" w:cs="Helvetica"/>
          <w:i/>
          <w:color w:val="0A1B32"/>
          <w:sz w:val="27"/>
          <w:szCs w:val="27"/>
          <w:lang w:val="en-US" w:eastAsia="pl-PL"/>
        </w:rPr>
      </w:pPr>
      <w:r w:rsidRPr="00CC3674">
        <w:rPr>
          <w:rFonts w:ascii="Helvetica" w:eastAsia="Times New Roman" w:hAnsi="Helvetica" w:cs="Helvetica"/>
          <w:i/>
          <w:color w:val="0A1B32"/>
          <w:sz w:val="27"/>
          <w:szCs w:val="27"/>
          <w:lang w:val="en-US" w:eastAsia="pl-PL"/>
        </w:rPr>
        <w:lastRenderedPageBreak/>
        <w:t>(3)</w:t>
      </w:r>
      <w:r w:rsidRPr="00CC3674">
        <w:rPr>
          <w:rFonts w:ascii="Helvetica" w:eastAsia="Times New Roman" w:hAnsi="Helvetica" w:cs="Helvetica"/>
          <w:i/>
          <w:color w:val="0A1B32"/>
          <w:sz w:val="27"/>
          <w:szCs w:val="27"/>
          <w:lang w:val="en-US" w:eastAsia="pl-PL"/>
        </w:rPr>
        <w:tab/>
      </w:r>
    </w:p>
    <w:p w:rsidR="00CC3674" w:rsidRPr="00CC3674" w:rsidRDefault="00CC3674" w:rsidP="00CC3674">
      <w:pPr>
        <w:spacing w:after="100" w:afterAutospacing="1" w:line="240" w:lineRule="auto"/>
        <w:jc w:val="both"/>
        <w:rPr>
          <w:rFonts w:ascii="Helvetica" w:eastAsia="Times New Roman" w:hAnsi="Helvetica" w:cs="Helvetica"/>
          <w:i/>
          <w:color w:val="0A1B32"/>
          <w:sz w:val="27"/>
          <w:szCs w:val="27"/>
          <w:lang w:val="en-US" w:eastAsia="pl-PL"/>
        </w:rPr>
      </w:pPr>
      <w:r w:rsidRPr="00CC3674">
        <w:rPr>
          <w:rFonts w:ascii="Helvetica" w:eastAsia="Times New Roman" w:hAnsi="Helvetica" w:cs="Helvetica"/>
          <w:b/>
          <w:i/>
          <w:color w:val="0A1B32"/>
          <w:sz w:val="27"/>
          <w:szCs w:val="27"/>
          <w:lang w:val="en-US" w:eastAsia="pl-PL"/>
        </w:rPr>
        <w:t>Option risk</w:t>
      </w:r>
      <w:r w:rsidRPr="00CC3674">
        <w:rPr>
          <w:rFonts w:ascii="Helvetica" w:eastAsia="Times New Roman" w:hAnsi="Helvetica" w:cs="Helvetica"/>
          <w:i/>
          <w:color w:val="0A1B32"/>
          <w:sz w:val="27"/>
          <w:szCs w:val="27"/>
          <w:lang w:val="en-US" w:eastAsia="pl-PL"/>
        </w:rPr>
        <w:t xml:space="preserve"> arises from option derivative positions or from optional elements embedded in a bank’s assets, liabilities and/or off-balance sheet items, where the bank or its customer can alter the level and timing of their cash flows. Option</w:t>
      </w:r>
      <w:r>
        <w:rPr>
          <w:rFonts w:ascii="Helvetica" w:eastAsia="Times New Roman" w:hAnsi="Helvetica" w:cs="Helvetica"/>
          <w:i/>
          <w:color w:val="0A1B32"/>
          <w:sz w:val="27"/>
          <w:szCs w:val="27"/>
          <w:lang w:val="en-US" w:eastAsia="pl-PL"/>
        </w:rPr>
        <w:t xml:space="preserve"> risk can be further characteriz</w:t>
      </w:r>
      <w:r w:rsidRPr="00CC3674">
        <w:rPr>
          <w:rFonts w:ascii="Helvetica" w:eastAsia="Times New Roman" w:hAnsi="Helvetica" w:cs="Helvetica"/>
          <w:i/>
          <w:color w:val="0A1B32"/>
          <w:sz w:val="27"/>
          <w:szCs w:val="27"/>
          <w:lang w:val="en-US" w:eastAsia="pl-PL"/>
        </w:rPr>
        <w:t>ed into au</w:t>
      </w:r>
      <w:r>
        <w:rPr>
          <w:rFonts w:ascii="Helvetica" w:eastAsia="Times New Roman" w:hAnsi="Helvetica" w:cs="Helvetica"/>
          <w:i/>
          <w:color w:val="0A1B32"/>
          <w:sz w:val="27"/>
          <w:szCs w:val="27"/>
          <w:lang w:val="en-US" w:eastAsia="pl-PL"/>
        </w:rPr>
        <w:t>tomatic option risk and behavio</w:t>
      </w:r>
      <w:r w:rsidRPr="00CC3674">
        <w:rPr>
          <w:rFonts w:ascii="Helvetica" w:eastAsia="Times New Roman" w:hAnsi="Helvetica" w:cs="Helvetica"/>
          <w:i/>
          <w:color w:val="0A1B32"/>
          <w:sz w:val="27"/>
          <w:szCs w:val="27"/>
          <w:lang w:val="en-US" w:eastAsia="pl-PL"/>
        </w:rPr>
        <w:t>ral option risk.</w:t>
      </w:r>
    </w:p>
    <w:p w:rsidR="00CC3674" w:rsidRDefault="00CC3674" w:rsidP="00CC3674">
      <w:pPr>
        <w:spacing w:after="100" w:afterAutospacing="1" w:line="240" w:lineRule="auto"/>
        <w:jc w:val="both"/>
        <w:rPr>
          <w:rFonts w:ascii="Helvetica" w:eastAsia="Times New Roman" w:hAnsi="Helvetica" w:cs="Helvetica"/>
          <w:i/>
          <w:color w:val="0A1B32"/>
          <w:sz w:val="27"/>
          <w:szCs w:val="27"/>
          <w:lang w:val="en-US" w:eastAsia="pl-PL"/>
        </w:rPr>
      </w:pPr>
      <w:r w:rsidRPr="00CC3674">
        <w:rPr>
          <w:rFonts w:ascii="Helvetica" w:eastAsia="Times New Roman" w:hAnsi="Helvetica" w:cs="Helvetica"/>
          <w:i/>
          <w:color w:val="0A1B32"/>
          <w:sz w:val="27"/>
          <w:szCs w:val="27"/>
          <w:lang w:val="en-US" w:eastAsia="pl-PL"/>
        </w:rPr>
        <w:t>While the three sub-types listed above are directly linked to IRRBB, credit spread risk in the banking book (CSRBB) is a related risk that banks need to monitor and assess in their interest rate risk management framework. CSRBB refers to any kind of asset/liability spread risk of credit-risky instruments that is not explained by IRRBB and by the expected credit/jump to default risk</w:t>
      </w:r>
    </w:p>
    <w:p w:rsidR="00D05D57" w:rsidRPr="00D05D57"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D05D57">
        <w:rPr>
          <w:rFonts w:ascii="Helvetica" w:eastAsia="Times New Roman" w:hAnsi="Helvetica" w:cs="Helvetica"/>
          <w:b/>
          <w:i/>
          <w:color w:val="0A1B32"/>
          <w:sz w:val="27"/>
          <w:szCs w:val="27"/>
          <w:lang w:val="en-US" w:eastAsia="pl-PL"/>
        </w:rPr>
        <w:t>36. What is reinvestment risk?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Reinvestment risk refers to the </w:t>
      </w:r>
      <w:r w:rsidRPr="00EA69D5">
        <w:rPr>
          <w:rFonts w:ascii="Helvetica" w:eastAsia="Times New Roman" w:hAnsi="Helvetica" w:cs="Helvetica"/>
          <w:b/>
          <w:i/>
          <w:color w:val="0A1B32"/>
          <w:sz w:val="27"/>
          <w:szCs w:val="27"/>
          <w:lang w:val="en-US" w:eastAsia="pl-PL"/>
        </w:rPr>
        <w:t>possibility that an investor will be unable to reinvest cash flows received from an investment, such as coupon payments or interest, at a rate comparable to their current rate of return</w:t>
      </w:r>
      <w:r w:rsidRPr="00D05D57">
        <w:rPr>
          <w:rFonts w:ascii="Helvetica" w:eastAsia="Times New Roman" w:hAnsi="Helvetica" w:cs="Helvetica"/>
          <w:i/>
          <w:color w:val="0A1B32"/>
          <w:sz w:val="27"/>
          <w:szCs w:val="27"/>
          <w:lang w:val="en-US" w:eastAsia="pl-PL"/>
        </w:rPr>
        <w:t>. This new rate is called the reinvestment rate.</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EA69D5">
        <w:rPr>
          <w:rFonts w:ascii="Helvetica" w:eastAsia="Times New Roman" w:hAnsi="Helvetica" w:cs="Helvetica"/>
          <w:b/>
          <w:i/>
          <w:color w:val="0A1B32"/>
          <w:sz w:val="27"/>
          <w:szCs w:val="27"/>
          <w:lang w:val="en-US" w:eastAsia="pl-PL"/>
        </w:rPr>
        <w:t>Zero-coupon bonds</w:t>
      </w:r>
      <w:r w:rsidRPr="00D05D57">
        <w:rPr>
          <w:rFonts w:ascii="Helvetica" w:eastAsia="Times New Roman" w:hAnsi="Helvetica" w:cs="Helvetica"/>
          <w:i/>
          <w:color w:val="0A1B32"/>
          <w:sz w:val="27"/>
          <w:szCs w:val="27"/>
          <w:lang w:val="en-US" w:eastAsia="pl-PL"/>
        </w:rPr>
        <w:t xml:space="preserve"> (Z-bonds) are the only type of fixed-income security to have </w:t>
      </w:r>
      <w:r w:rsidRPr="00EA69D5">
        <w:rPr>
          <w:rFonts w:ascii="Helvetica" w:eastAsia="Times New Roman" w:hAnsi="Helvetica" w:cs="Helvetica"/>
          <w:b/>
          <w:i/>
          <w:color w:val="0A1B32"/>
          <w:sz w:val="27"/>
          <w:szCs w:val="27"/>
          <w:lang w:val="en-US" w:eastAsia="pl-PL"/>
        </w:rPr>
        <w:t>no inherent investment risk</w:t>
      </w:r>
      <w:r w:rsidRPr="00D05D57">
        <w:rPr>
          <w:rFonts w:ascii="Helvetica" w:eastAsia="Times New Roman" w:hAnsi="Helvetica" w:cs="Helvetica"/>
          <w:i/>
          <w:color w:val="0A1B32"/>
          <w:sz w:val="27"/>
          <w:szCs w:val="27"/>
          <w:lang w:val="en-US" w:eastAsia="pl-PL"/>
        </w:rPr>
        <w:t xml:space="preserve"> since they issue no coupon payments throughout their lives.</w:t>
      </w:r>
    </w:p>
    <w:p w:rsidR="00D05D57" w:rsidRPr="00EA69D5"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EA69D5">
        <w:rPr>
          <w:rFonts w:ascii="Helvetica" w:eastAsia="Times New Roman" w:hAnsi="Helvetica" w:cs="Helvetica"/>
          <w:b/>
          <w:i/>
          <w:color w:val="0A1B32"/>
          <w:sz w:val="27"/>
          <w:szCs w:val="27"/>
          <w:lang w:val="en-US" w:eastAsia="pl-PL"/>
        </w:rPr>
        <w:t>KEY TAKEAWAYS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w:t>
      </w:r>
      <w:r w:rsidRPr="00D05D57">
        <w:rPr>
          <w:rFonts w:ascii="Helvetica" w:eastAsia="Times New Roman" w:hAnsi="Helvetica" w:cs="Helvetica"/>
          <w:i/>
          <w:color w:val="0A1B32"/>
          <w:sz w:val="27"/>
          <w:szCs w:val="27"/>
          <w:lang w:val="en-US" w:eastAsia="pl-PL"/>
        </w:rPr>
        <w:tab/>
        <w:t>Reinvestment risk is the chance that cash flows received from an investment will earn less when put to use in a new investment.</w:t>
      </w:r>
    </w:p>
    <w:p w:rsidR="00D05D57" w:rsidRPr="00EA69D5"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D05D57">
        <w:rPr>
          <w:rFonts w:ascii="Helvetica" w:eastAsia="Times New Roman" w:hAnsi="Helvetica" w:cs="Helvetica"/>
          <w:i/>
          <w:color w:val="0A1B32"/>
          <w:sz w:val="27"/>
          <w:szCs w:val="27"/>
          <w:lang w:val="en-US" w:eastAsia="pl-PL"/>
        </w:rPr>
        <w:t>•</w:t>
      </w:r>
      <w:r w:rsidRPr="00D05D57">
        <w:rPr>
          <w:rFonts w:ascii="Helvetica" w:eastAsia="Times New Roman" w:hAnsi="Helvetica" w:cs="Helvetica"/>
          <w:i/>
          <w:color w:val="0A1B32"/>
          <w:sz w:val="27"/>
          <w:szCs w:val="27"/>
          <w:lang w:val="en-US" w:eastAsia="pl-PL"/>
        </w:rPr>
        <w:tab/>
      </w:r>
      <w:r w:rsidRPr="00EA69D5">
        <w:rPr>
          <w:rFonts w:ascii="Helvetica" w:eastAsia="Times New Roman" w:hAnsi="Helvetica" w:cs="Helvetica"/>
          <w:b/>
          <w:i/>
          <w:color w:val="0A1B32"/>
          <w:sz w:val="27"/>
          <w:szCs w:val="27"/>
          <w:lang w:val="en-US" w:eastAsia="pl-PL"/>
        </w:rPr>
        <w:t>Callable bonds are especially vulnerable to reinvestment risk because these bonds are typically redeemed when interest rates decline.</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w:t>
      </w:r>
      <w:r w:rsidRPr="00D05D57">
        <w:rPr>
          <w:rFonts w:ascii="Helvetica" w:eastAsia="Times New Roman" w:hAnsi="Helvetica" w:cs="Helvetica"/>
          <w:i/>
          <w:color w:val="0A1B32"/>
          <w:sz w:val="27"/>
          <w:szCs w:val="27"/>
          <w:lang w:val="en-US" w:eastAsia="pl-PL"/>
        </w:rPr>
        <w:tab/>
        <w:t xml:space="preserve">Methods to </w:t>
      </w:r>
      <w:r w:rsidRPr="00B92675">
        <w:rPr>
          <w:rFonts w:ascii="Helvetica" w:eastAsia="Times New Roman" w:hAnsi="Helvetica" w:cs="Helvetica"/>
          <w:b/>
          <w:i/>
          <w:color w:val="0A1B32"/>
          <w:sz w:val="27"/>
          <w:szCs w:val="27"/>
          <w:lang w:val="en-US" w:eastAsia="pl-PL"/>
        </w:rPr>
        <w:t>mitigate</w:t>
      </w:r>
      <w:r w:rsidRPr="00D05D57">
        <w:rPr>
          <w:rFonts w:ascii="Helvetica" w:eastAsia="Times New Roman" w:hAnsi="Helvetica" w:cs="Helvetica"/>
          <w:i/>
          <w:color w:val="0A1B32"/>
          <w:sz w:val="27"/>
          <w:szCs w:val="27"/>
          <w:lang w:val="en-US" w:eastAsia="pl-PL"/>
        </w:rPr>
        <w:t xml:space="preserve"> reinvestment risk include the </w:t>
      </w:r>
      <w:r w:rsidRPr="00B92675">
        <w:rPr>
          <w:rFonts w:ascii="Helvetica" w:eastAsia="Times New Roman" w:hAnsi="Helvetica" w:cs="Helvetica"/>
          <w:b/>
          <w:i/>
          <w:color w:val="0A1B32"/>
          <w:sz w:val="27"/>
          <w:szCs w:val="27"/>
          <w:lang w:val="en-US" w:eastAsia="pl-PL"/>
        </w:rPr>
        <w:t>use of non-callable bonds, zero-coupon instruments, long-term securities, bond ladders, and actively managed bond funds.</w:t>
      </w:r>
    </w:p>
    <w:p w:rsidR="00D05D57" w:rsidRPr="00EE0BB8"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EE0BB8">
        <w:rPr>
          <w:rFonts w:ascii="Helvetica" w:eastAsia="Times New Roman" w:hAnsi="Helvetica" w:cs="Helvetica"/>
          <w:b/>
          <w:i/>
          <w:color w:val="0A1B32"/>
          <w:sz w:val="27"/>
          <w:szCs w:val="27"/>
          <w:lang w:val="en-US" w:eastAsia="pl-PL"/>
        </w:rPr>
        <w:t>37. How do interest rate risk and reinvestment risk interact?</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Fixed income securities such as bonds are instruments that typically pay interest, called the coupon, throughout their lifetimes and then return the face value at maturity. There's generally less risk than with other investments that investors will lose all their money when investing in bonds. There are still risks associated with bonds, though, including factors called </w:t>
      </w:r>
      <w:r w:rsidRPr="00875A7E">
        <w:rPr>
          <w:rFonts w:ascii="Helvetica" w:eastAsia="Times New Roman" w:hAnsi="Helvetica" w:cs="Helvetica"/>
          <w:b/>
          <w:i/>
          <w:color w:val="0A1B32"/>
          <w:sz w:val="27"/>
          <w:szCs w:val="27"/>
          <w:lang w:val="en-US" w:eastAsia="pl-PL"/>
        </w:rPr>
        <w:t xml:space="preserve">interest rate </w:t>
      </w:r>
      <w:r w:rsidRPr="00875A7E">
        <w:rPr>
          <w:rFonts w:ascii="Helvetica" w:eastAsia="Times New Roman" w:hAnsi="Helvetica" w:cs="Helvetica"/>
          <w:b/>
          <w:i/>
          <w:color w:val="0A1B32"/>
          <w:sz w:val="27"/>
          <w:szCs w:val="27"/>
          <w:lang w:val="en-US" w:eastAsia="pl-PL"/>
        </w:rPr>
        <w:lastRenderedPageBreak/>
        <w:t>risk and reinvestment risk</w:t>
      </w:r>
      <w:r w:rsidRPr="00D05D57">
        <w:rPr>
          <w:rFonts w:ascii="Helvetica" w:eastAsia="Times New Roman" w:hAnsi="Helvetica" w:cs="Helvetica"/>
          <w:i/>
          <w:color w:val="0A1B32"/>
          <w:sz w:val="27"/>
          <w:szCs w:val="27"/>
          <w:lang w:val="en-US" w:eastAsia="pl-PL"/>
        </w:rPr>
        <w:t xml:space="preserve"> that focus on whether investors could ultimately be worse off due to changing market conditions.</w:t>
      </w:r>
    </w:p>
    <w:p w:rsidR="00D05D57" w:rsidRPr="00875A7E"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875A7E">
        <w:rPr>
          <w:rFonts w:ascii="Helvetica" w:eastAsia="Times New Roman" w:hAnsi="Helvetica" w:cs="Helvetica"/>
          <w:b/>
          <w:i/>
          <w:color w:val="0A1B32"/>
          <w:sz w:val="27"/>
          <w:szCs w:val="27"/>
          <w:lang w:val="en-US" w:eastAsia="pl-PL"/>
        </w:rPr>
        <w:t>Tip</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875A7E">
        <w:rPr>
          <w:rFonts w:ascii="Helvetica" w:eastAsia="Times New Roman" w:hAnsi="Helvetica" w:cs="Helvetica"/>
          <w:b/>
          <w:i/>
          <w:color w:val="0A1B32"/>
          <w:sz w:val="27"/>
          <w:szCs w:val="27"/>
          <w:lang w:val="en-US" w:eastAsia="pl-PL"/>
        </w:rPr>
        <w:t>Interest rate risk</w:t>
      </w:r>
      <w:r w:rsidRPr="00D05D57">
        <w:rPr>
          <w:rFonts w:ascii="Helvetica" w:eastAsia="Times New Roman" w:hAnsi="Helvetica" w:cs="Helvetica"/>
          <w:i/>
          <w:color w:val="0A1B32"/>
          <w:sz w:val="27"/>
          <w:szCs w:val="27"/>
          <w:lang w:val="en-US" w:eastAsia="pl-PL"/>
        </w:rPr>
        <w:t xml:space="preserve"> refers to the danger of a bond </w:t>
      </w:r>
      <w:r w:rsidRPr="00875A7E">
        <w:rPr>
          <w:rFonts w:ascii="Helvetica" w:eastAsia="Times New Roman" w:hAnsi="Helvetica" w:cs="Helvetica"/>
          <w:b/>
          <w:i/>
          <w:color w:val="0A1B32"/>
          <w:sz w:val="27"/>
          <w:szCs w:val="27"/>
          <w:lang w:val="en-US" w:eastAsia="pl-PL"/>
        </w:rPr>
        <w:t>losing value because it pays interest rates below what would-be buyers can otherwise find in the market</w:t>
      </w:r>
      <w:r w:rsidRPr="00D05D57">
        <w:rPr>
          <w:rFonts w:ascii="Helvetica" w:eastAsia="Times New Roman" w:hAnsi="Helvetica" w:cs="Helvetica"/>
          <w:i/>
          <w:color w:val="0A1B32"/>
          <w:sz w:val="27"/>
          <w:szCs w:val="27"/>
          <w:lang w:val="en-US" w:eastAsia="pl-PL"/>
        </w:rPr>
        <w:t xml:space="preserve">. </w:t>
      </w:r>
      <w:r w:rsidRPr="00875A7E">
        <w:rPr>
          <w:rFonts w:ascii="Helvetica" w:eastAsia="Times New Roman" w:hAnsi="Helvetica" w:cs="Helvetica"/>
          <w:b/>
          <w:i/>
          <w:color w:val="0A1B32"/>
          <w:sz w:val="27"/>
          <w:szCs w:val="27"/>
          <w:lang w:val="en-US" w:eastAsia="pl-PL"/>
        </w:rPr>
        <w:t>Reinvestment risk</w:t>
      </w:r>
      <w:r w:rsidRPr="00D05D57">
        <w:rPr>
          <w:rFonts w:ascii="Helvetica" w:eastAsia="Times New Roman" w:hAnsi="Helvetica" w:cs="Helvetica"/>
          <w:i/>
          <w:color w:val="0A1B32"/>
          <w:sz w:val="27"/>
          <w:szCs w:val="27"/>
          <w:lang w:val="en-US" w:eastAsia="pl-PL"/>
        </w:rPr>
        <w:t xml:space="preserve"> refers to </w:t>
      </w:r>
      <w:r w:rsidRPr="00875A7E">
        <w:rPr>
          <w:rFonts w:ascii="Helvetica" w:eastAsia="Times New Roman" w:hAnsi="Helvetica" w:cs="Helvetica"/>
          <w:b/>
          <w:i/>
          <w:color w:val="0A1B32"/>
          <w:sz w:val="27"/>
          <w:szCs w:val="27"/>
          <w:lang w:val="en-US" w:eastAsia="pl-PL"/>
        </w:rPr>
        <w:t>investors not being able to find a similarly paying investment for their proceeds from a bond</w:t>
      </w:r>
      <w:r w:rsidRPr="00D05D57">
        <w:rPr>
          <w:rFonts w:ascii="Helvetica" w:eastAsia="Times New Roman" w:hAnsi="Helvetica" w:cs="Helvetica"/>
          <w:i/>
          <w:color w:val="0A1B32"/>
          <w:sz w:val="27"/>
          <w:szCs w:val="27"/>
          <w:lang w:val="en-US" w:eastAsia="pl-PL"/>
        </w:rPr>
        <w:t>.</w:t>
      </w:r>
    </w:p>
    <w:p w:rsidR="00D05D57" w:rsidRPr="00875A7E"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875A7E">
        <w:rPr>
          <w:rFonts w:ascii="Helvetica" w:eastAsia="Times New Roman" w:hAnsi="Helvetica" w:cs="Helvetica"/>
          <w:b/>
          <w:i/>
          <w:color w:val="0A1B32"/>
          <w:sz w:val="27"/>
          <w:szCs w:val="27"/>
          <w:lang w:val="en-US" w:eastAsia="pl-PL"/>
        </w:rPr>
        <w:t>Exploring Yield vs Price</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A fixed-rate bond has a stated, unchanging coupon payment it disburses every period - for instance, T-Bonds pay interest semi-annually. The total coupon payments for the year divided by the bond price is the annual yield. Coupons don’t change on fixed-rate bonds, but prices do, and thus so do yields.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For an already issued bond to be sellable, its yield must compete with current interest rates. Thus, as rates and yields go up, prices must come down, and vice versa.</w:t>
      </w:r>
    </w:p>
    <w:p w:rsidR="00D05D57" w:rsidRPr="00875A7E"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875A7E">
        <w:rPr>
          <w:rFonts w:ascii="Helvetica" w:eastAsia="Times New Roman" w:hAnsi="Helvetica" w:cs="Helvetica"/>
          <w:b/>
          <w:i/>
          <w:color w:val="0A1B32"/>
          <w:sz w:val="27"/>
          <w:szCs w:val="27"/>
          <w:lang w:val="en-US" w:eastAsia="pl-PL"/>
        </w:rPr>
        <w:t>Interest Rate Risk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The scenario in which interest rates rise after a bond is issued leads to interest rate risk. Since prices will decline if interest rates rise, the holder of a fixed-rate bond may experience a capital loss if the bond is sold before its maturity date. The longer the period until maturity, the more the bond is subject to interest rate risk.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At maturity, the bond will refund the face amount, so </w:t>
      </w:r>
      <w:r w:rsidRPr="00345319">
        <w:rPr>
          <w:rFonts w:ascii="Helvetica" w:eastAsia="Times New Roman" w:hAnsi="Helvetica" w:cs="Helvetica"/>
          <w:b/>
          <w:i/>
          <w:color w:val="0A1B32"/>
          <w:sz w:val="27"/>
          <w:szCs w:val="27"/>
          <w:lang w:val="en-US" w:eastAsia="pl-PL"/>
        </w:rPr>
        <w:t>bonds near maturity have little interest rate risk.</w:t>
      </w:r>
      <w:r w:rsidRPr="00D05D57">
        <w:rPr>
          <w:rFonts w:ascii="Helvetica" w:eastAsia="Times New Roman" w:hAnsi="Helvetica" w:cs="Helvetica"/>
          <w:i/>
          <w:color w:val="0A1B32"/>
          <w:sz w:val="27"/>
          <w:szCs w:val="27"/>
          <w:lang w:val="en-US" w:eastAsia="pl-PL"/>
        </w:rPr>
        <w:t xml:space="preserve"> Bond duration is a mathematical equation that signifies how sensitive a bond is to interest rate risk -- bonds with relatively low durations are more resistant to interest rate risk.</w:t>
      </w:r>
    </w:p>
    <w:p w:rsidR="00D05D57" w:rsidRPr="00EE3E9E"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EE3E9E">
        <w:rPr>
          <w:rFonts w:ascii="Helvetica" w:eastAsia="Times New Roman" w:hAnsi="Helvetica" w:cs="Helvetica"/>
          <w:b/>
          <w:i/>
          <w:color w:val="0A1B32"/>
          <w:sz w:val="27"/>
          <w:szCs w:val="27"/>
          <w:lang w:val="en-US" w:eastAsia="pl-PL"/>
        </w:rPr>
        <w:t>Understanding Reinvestment Risk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0A1C98">
        <w:rPr>
          <w:rFonts w:ascii="Helvetica" w:eastAsia="Times New Roman" w:hAnsi="Helvetica" w:cs="Helvetica"/>
          <w:i/>
          <w:color w:val="FF0000"/>
          <w:sz w:val="27"/>
          <w:szCs w:val="27"/>
          <w:lang w:val="en-US" w:eastAsia="pl-PL"/>
        </w:rPr>
        <w:t>What if interest rates go down instead</w:t>
      </w:r>
      <w:r w:rsidRPr="00D05D57">
        <w:rPr>
          <w:rFonts w:ascii="Helvetica" w:eastAsia="Times New Roman" w:hAnsi="Helvetica" w:cs="Helvetica"/>
          <w:i/>
          <w:color w:val="0A1B32"/>
          <w:sz w:val="27"/>
          <w:szCs w:val="27"/>
          <w:lang w:val="en-US" w:eastAsia="pl-PL"/>
        </w:rPr>
        <w:t xml:space="preserve">? </w:t>
      </w:r>
      <w:r w:rsidRPr="000A1C98">
        <w:rPr>
          <w:rFonts w:ascii="Helvetica" w:eastAsia="Times New Roman" w:hAnsi="Helvetica" w:cs="Helvetica"/>
          <w:b/>
          <w:i/>
          <w:color w:val="0A1B32"/>
          <w:sz w:val="27"/>
          <w:szCs w:val="27"/>
          <w:lang w:val="en-US" w:eastAsia="pl-PL"/>
        </w:rPr>
        <w:t>The price of a fixed-rate bond will rise and entice some holders to sell the bond for a profit</w:t>
      </w:r>
      <w:r w:rsidRPr="00D05D57">
        <w:rPr>
          <w:rFonts w:ascii="Helvetica" w:eastAsia="Times New Roman" w:hAnsi="Helvetica" w:cs="Helvetica"/>
          <w:i/>
          <w:color w:val="0A1B32"/>
          <w:sz w:val="27"/>
          <w:szCs w:val="27"/>
          <w:lang w:val="en-US" w:eastAsia="pl-PL"/>
        </w:rPr>
        <w:t xml:space="preserve">. But others will hold onto the bond and will find </w:t>
      </w:r>
      <w:r w:rsidRPr="000A1C98">
        <w:rPr>
          <w:rFonts w:ascii="Helvetica" w:eastAsia="Times New Roman" w:hAnsi="Helvetica" w:cs="Helvetica"/>
          <w:b/>
          <w:i/>
          <w:color w:val="0A1B32"/>
          <w:sz w:val="27"/>
          <w:szCs w:val="27"/>
          <w:lang w:val="en-US" w:eastAsia="pl-PL"/>
        </w:rPr>
        <w:t>that they cannot make as much interest income from reinvesting the periodic coupon payments they receive</w:t>
      </w:r>
      <w:r w:rsidRPr="00D05D57">
        <w:rPr>
          <w:rFonts w:ascii="Helvetica" w:eastAsia="Times New Roman" w:hAnsi="Helvetica" w:cs="Helvetica"/>
          <w:i/>
          <w:color w:val="0A1B32"/>
          <w:sz w:val="27"/>
          <w:szCs w:val="27"/>
          <w:lang w:val="en-US" w:eastAsia="pl-PL"/>
        </w:rPr>
        <w:t>.</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This is </w:t>
      </w:r>
      <w:r w:rsidRPr="000A1C98">
        <w:rPr>
          <w:rFonts w:ascii="Helvetica" w:eastAsia="Times New Roman" w:hAnsi="Helvetica" w:cs="Helvetica"/>
          <w:b/>
          <w:i/>
          <w:color w:val="0A1B32"/>
          <w:sz w:val="27"/>
          <w:szCs w:val="27"/>
          <w:lang w:val="en-US" w:eastAsia="pl-PL"/>
        </w:rPr>
        <w:t>reinvestment risk</w:t>
      </w:r>
      <w:r w:rsidRPr="00D05D57">
        <w:rPr>
          <w:rFonts w:ascii="Helvetica" w:eastAsia="Times New Roman" w:hAnsi="Helvetica" w:cs="Helvetica"/>
          <w:i/>
          <w:color w:val="0A1B32"/>
          <w:sz w:val="27"/>
          <w:szCs w:val="27"/>
          <w:lang w:val="en-US" w:eastAsia="pl-PL"/>
        </w:rPr>
        <w:t xml:space="preserve"> -- if interest rates go down, your interest on interest will decline. This lowers a bond’s yield to maturity, which is a function of the total income, including reinvested interest income, which will be provided by the bond.</w:t>
      </w:r>
    </w:p>
    <w:p w:rsidR="00D05D57" w:rsidRPr="000A1C98"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0A1C98">
        <w:rPr>
          <w:rFonts w:ascii="Helvetica" w:eastAsia="Times New Roman" w:hAnsi="Helvetica" w:cs="Helvetica"/>
          <w:b/>
          <w:i/>
          <w:color w:val="0A1B32"/>
          <w:sz w:val="27"/>
          <w:szCs w:val="27"/>
          <w:lang w:val="en-US" w:eastAsia="pl-PL"/>
        </w:rPr>
        <w:lastRenderedPageBreak/>
        <w:t>Understanding Call Risk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Some bonds are considered </w:t>
      </w:r>
      <w:r w:rsidRPr="000A1C98">
        <w:rPr>
          <w:rFonts w:ascii="Helvetica" w:eastAsia="Times New Roman" w:hAnsi="Helvetica" w:cs="Helvetica"/>
          <w:b/>
          <w:i/>
          <w:color w:val="0A1B32"/>
          <w:sz w:val="27"/>
          <w:szCs w:val="27"/>
          <w:lang w:val="en-US" w:eastAsia="pl-PL"/>
        </w:rPr>
        <w:t>callable bonds</w:t>
      </w:r>
      <w:r w:rsidRPr="00D05D57">
        <w:rPr>
          <w:rFonts w:ascii="Helvetica" w:eastAsia="Times New Roman" w:hAnsi="Helvetica" w:cs="Helvetica"/>
          <w:i/>
          <w:color w:val="0A1B32"/>
          <w:sz w:val="27"/>
          <w:szCs w:val="27"/>
          <w:lang w:val="en-US" w:eastAsia="pl-PL"/>
        </w:rPr>
        <w:t xml:space="preserve">, which means that the organization that issued them </w:t>
      </w:r>
      <w:r w:rsidRPr="000A1C98">
        <w:rPr>
          <w:rFonts w:ascii="Helvetica" w:eastAsia="Times New Roman" w:hAnsi="Helvetica" w:cs="Helvetica"/>
          <w:b/>
          <w:i/>
          <w:color w:val="0A1B32"/>
          <w:sz w:val="27"/>
          <w:szCs w:val="27"/>
          <w:lang w:val="en-US" w:eastAsia="pl-PL"/>
        </w:rPr>
        <w:t>can pay them back early through a process known as calling</w:t>
      </w:r>
      <w:r w:rsidRPr="00D05D57">
        <w:rPr>
          <w:rFonts w:ascii="Helvetica" w:eastAsia="Times New Roman" w:hAnsi="Helvetica" w:cs="Helvetica"/>
          <w:i/>
          <w:color w:val="0A1B32"/>
          <w:sz w:val="27"/>
          <w:szCs w:val="27"/>
          <w:lang w:val="en-US" w:eastAsia="pl-PL"/>
        </w:rPr>
        <w:t xml:space="preserve"> them. Exactly when the bonds can be called depends on their original terms.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Typically, </w:t>
      </w:r>
      <w:r w:rsidRPr="000A1C98">
        <w:rPr>
          <w:rFonts w:ascii="Helvetica" w:eastAsia="Times New Roman" w:hAnsi="Helvetica" w:cs="Helvetica"/>
          <w:b/>
          <w:i/>
          <w:color w:val="0A1B32"/>
          <w:sz w:val="27"/>
          <w:szCs w:val="27"/>
          <w:lang w:val="en-US" w:eastAsia="pl-PL"/>
        </w:rPr>
        <w:t>bonds will be called early if the issuer can replace them with lower interest bonds</w:t>
      </w:r>
      <w:r w:rsidRPr="00D05D57">
        <w:rPr>
          <w:rFonts w:ascii="Helvetica" w:eastAsia="Times New Roman" w:hAnsi="Helvetica" w:cs="Helvetica"/>
          <w:i/>
          <w:color w:val="0A1B32"/>
          <w:sz w:val="27"/>
          <w:szCs w:val="27"/>
          <w:lang w:val="en-US" w:eastAsia="pl-PL"/>
        </w:rPr>
        <w:t xml:space="preserve"> or simply </w:t>
      </w:r>
      <w:r w:rsidRPr="000A1C98">
        <w:rPr>
          <w:rFonts w:ascii="Helvetica" w:eastAsia="Times New Roman" w:hAnsi="Helvetica" w:cs="Helvetica"/>
          <w:b/>
          <w:i/>
          <w:color w:val="0A1B32"/>
          <w:sz w:val="27"/>
          <w:szCs w:val="27"/>
          <w:lang w:val="en-US" w:eastAsia="pl-PL"/>
        </w:rPr>
        <w:t>wants to save money on long-term interest payments.</w:t>
      </w:r>
      <w:r w:rsidRPr="00D05D57">
        <w:rPr>
          <w:rFonts w:ascii="Helvetica" w:eastAsia="Times New Roman" w:hAnsi="Helvetica" w:cs="Helvetica"/>
          <w:i/>
          <w:color w:val="0A1B32"/>
          <w:sz w:val="27"/>
          <w:szCs w:val="27"/>
          <w:lang w:val="en-US" w:eastAsia="pl-PL"/>
        </w:rPr>
        <w:t xml:space="preserve"> This presents a particular type of reinvestment risk, known as call risk, to the investors in the bonds, since the bonds will likely be called when comparable interest rates are no longer available.</w:t>
      </w:r>
    </w:p>
    <w:p w:rsidR="00D05D57" w:rsidRPr="000A1C98"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0A1C98">
        <w:rPr>
          <w:rFonts w:ascii="Helvetica" w:eastAsia="Times New Roman" w:hAnsi="Helvetica" w:cs="Helvetica"/>
          <w:b/>
          <w:i/>
          <w:color w:val="0A1B32"/>
          <w:sz w:val="27"/>
          <w:szCs w:val="27"/>
          <w:lang w:val="en-US" w:eastAsia="pl-PL"/>
        </w:rPr>
        <w:t>Floating-Rate Bonds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Some bonds have variable coupons that float with current interest rates. These instruments tend to have stable prices because their coupons remain competitive within the changing interest rate environment. However, if </w:t>
      </w:r>
      <w:r w:rsidRPr="000A1C98">
        <w:rPr>
          <w:rFonts w:ascii="Helvetica" w:eastAsia="Times New Roman" w:hAnsi="Helvetica" w:cs="Helvetica"/>
          <w:i/>
          <w:color w:val="FF0000"/>
          <w:sz w:val="27"/>
          <w:szCs w:val="27"/>
          <w:lang w:val="en-US" w:eastAsia="pl-PL"/>
        </w:rPr>
        <w:t>interest rates go down, so will the bond’s coupon, cutting interest income</w:t>
      </w:r>
      <w:r w:rsidRPr="00D05D57">
        <w:rPr>
          <w:rFonts w:ascii="Helvetica" w:eastAsia="Times New Roman" w:hAnsi="Helvetica" w:cs="Helvetica"/>
          <w:i/>
          <w:color w:val="0A1B32"/>
          <w:sz w:val="27"/>
          <w:szCs w:val="27"/>
          <w:lang w:val="en-US" w:eastAsia="pl-PL"/>
        </w:rPr>
        <w:t>.</w:t>
      </w:r>
    </w:p>
    <w:p w:rsidR="00D05D57" w:rsidRPr="00464AE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This is </w:t>
      </w:r>
      <w:r w:rsidRPr="000A1C98">
        <w:rPr>
          <w:rFonts w:ascii="Helvetica" w:eastAsia="Times New Roman" w:hAnsi="Helvetica" w:cs="Helvetica"/>
          <w:b/>
          <w:i/>
          <w:color w:val="0A1B32"/>
          <w:sz w:val="27"/>
          <w:szCs w:val="27"/>
          <w:lang w:val="en-US" w:eastAsia="pl-PL"/>
        </w:rPr>
        <w:t>income risk</w:t>
      </w:r>
      <w:r w:rsidRPr="00D05D57">
        <w:rPr>
          <w:rFonts w:ascii="Helvetica" w:eastAsia="Times New Roman" w:hAnsi="Helvetica" w:cs="Helvetica"/>
          <w:i/>
          <w:color w:val="0A1B32"/>
          <w:sz w:val="27"/>
          <w:szCs w:val="27"/>
          <w:lang w:val="en-US" w:eastAsia="pl-PL"/>
        </w:rPr>
        <w:t xml:space="preserve">. In addition, lower interest rates create reinvestment risk, whether the bond is fixed rate or floating rate. </w:t>
      </w:r>
      <w:r w:rsidRPr="00464AEC">
        <w:rPr>
          <w:rFonts w:ascii="Helvetica" w:eastAsia="Times New Roman" w:hAnsi="Helvetica" w:cs="Helvetica"/>
          <w:b/>
          <w:i/>
          <w:color w:val="0A1B32"/>
          <w:sz w:val="27"/>
          <w:szCs w:val="27"/>
          <w:lang w:val="en-US" w:eastAsia="pl-PL"/>
        </w:rPr>
        <w:t>Floating rate bonds are suitable for investors who are more sensitive to interest rate risk than to income risk, such as investors who do not plan to hold a bond until maturity.</w:t>
      </w:r>
    </w:p>
    <w:p w:rsidR="00D05D57" w:rsidRPr="000A1C98"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0A1C98">
        <w:rPr>
          <w:rFonts w:ascii="Helvetica" w:eastAsia="Times New Roman" w:hAnsi="Helvetica" w:cs="Helvetica"/>
          <w:b/>
          <w:i/>
          <w:color w:val="0A1B32"/>
          <w:sz w:val="27"/>
          <w:szCs w:val="27"/>
          <w:lang w:val="en-US" w:eastAsia="pl-PL"/>
        </w:rPr>
        <w:t>38. Which bond has the greatest associated interest rate risk? A five year zero coupon bond? Or a five year bond that pays coupons?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Answer and Explanation: A five-year </w:t>
      </w:r>
      <w:r w:rsidRPr="00464AEC">
        <w:rPr>
          <w:rFonts w:ascii="Helvetica" w:eastAsia="Times New Roman" w:hAnsi="Helvetica" w:cs="Helvetica"/>
          <w:b/>
          <w:i/>
          <w:color w:val="0A1B32"/>
          <w:sz w:val="27"/>
          <w:szCs w:val="27"/>
          <w:lang w:val="en-US" w:eastAsia="pl-PL"/>
        </w:rPr>
        <w:t>zero-coupon bond</w:t>
      </w:r>
      <w:r w:rsidRPr="00D05D57">
        <w:rPr>
          <w:rFonts w:ascii="Helvetica" w:eastAsia="Times New Roman" w:hAnsi="Helvetica" w:cs="Helvetica"/>
          <w:i/>
          <w:color w:val="0A1B32"/>
          <w:sz w:val="27"/>
          <w:szCs w:val="27"/>
          <w:lang w:val="en-US" w:eastAsia="pl-PL"/>
        </w:rPr>
        <w:t xml:space="preserve"> has </w:t>
      </w:r>
      <w:r w:rsidRPr="00464AEC">
        <w:rPr>
          <w:rFonts w:ascii="Helvetica" w:eastAsia="Times New Roman" w:hAnsi="Helvetica" w:cs="Helvetica"/>
          <w:b/>
          <w:i/>
          <w:color w:val="0A1B32"/>
          <w:sz w:val="27"/>
          <w:szCs w:val="27"/>
          <w:lang w:val="en-US" w:eastAsia="pl-PL"/>
        </w:rPr>
        <w:t>more interest rate risk</w:t>
      </w:r>
      <w:r w:rsidRPr="00D05D57">
        <w:rPr>
          <w:rFonts w:ascii="Helvetica" w:eastAsia="Times New Roman" w:hAnsi="Helvetica" w:cs="Helvetica"/>
          <w:i/>
          <w:color w:val="0A1B32"/>
          <w:sz w:val="27"/>
          <w:szCs w:val="27"/>
          <w:lang w:val="en-US" w:eastAsia="pl-PL"/>
        </w:rPr>
        <w:t>. Interest rate risk is higher for bonds that pay lower coupon payments.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Therefore, </w:t>
      </w:r>
      <w:r w:rsidRPr="00464AEC">
        <w:rPr>
          <w:rFonts w:ascii="Helvetica" w:eastAsia="Times New Roman" w:hAnsi="Helvetica" w:cs="Helvetica"/>
          <w:b/>
          <w:i/>
          <w:color w:val="0A1B32"/>
          <w:sz w:val="27"/>
          <w:szCs w:val="27"/>
          <w:lang w:val="en-US" w:eastAsia="pl-PL"/>
        </w:rPr>
        <w:t>bonds with longer maturities generally have higher interest rate risk than similar bonds with shorter maturities</w:t>
      </w:r>
      <w:r w:rsidRPr="00464AEC">
        <w:rPr>
          <w:rFonts w:ascii="Helvetica" w:eastAsia="Times New Roman" w:hAnsi="Helvetica" w:cs="Helvetica"/>
          <w:i/>
          <w:color w:val="0A1B32"/>
          <w:sz w:val="27"/>
          <w:szCs w:val="27"/>
          <w:lang w:val="en-US" w:eastAsia="pl-PL"/>
        </w:rPr>
        <w:t>. to compensate investors for this</w:t>
      </w:r>
      <w:r w:rsidRPr="00464AEC">
        <w:rPr>
          <w:rFonts w:ascii="Helvetica" w:eastAsia="Times New Roman" w:hAnsi="Helvetica" w:cs="Helvetica"/>
          <w:b/>
          <w:i/>
          <w:color w:val="0A1B32"/>
          <w:sz w:val="27"/>
          <w:szCs w:val="27"/>
          <w:lang w:val="en-US" w:eastAsia="pl-PL"/>
        </w:rPr>
        <w:t xml:space="preserve"> interest rate risk, long-term bonds </w:t>
      </w:r>
      <w:r w:rsidRPr="00464AEC">
        <w:rPr>
          <w:rFonts w:ascii="Helvetica" w:eastAsia="Times New Roman" w:hAnsi="Helvetica" w:cs="Helvetica"/>
          <w:i/>
          <w:color w:val="0A1B32"/>
          <w:sz w:val="27"/>
          <w:szCs w:val="27"/>
          <w:lang w:val="en-US" w:eastAsia="pl-PL"/>
        </w:rPr>
        <w:t>generally</w:t>
      </w:r>
      <w:r w:rsidRPr="00464AEC">
        <w:rPr>
          <w:rFonts w:ascii="Helvetica" w:eastAsia="Times New Roman" w:hAnsi="Helvetica" w:cs="Helvetica"/>
          <w:b/>
          <w:i/>
          <w:color w:val="0A1B32"/>
          <w:sz w:val="27"/>
          <w:szCs w:val="27"/>
          <w:lang w:val="en-US" w:eastAsia="pl-PL"/>
        </w:rPr>
        <w:t xml:space="preserve"> offer higher coupon rates </w:t>
      </w:r>
      <w:r w:rsidRPr="00464AEC">
        <w:rPr>
          <w:rFonts w:ascii="Helvetica" w:eastAsia="Times New Roman" w:hAnsi="Helvetica" w:cs="Helvetica"/>
          <w:i/>
          <w:color w:val="0A1B32"/>
          <w:sz w:val="27"/>
          <w:szCs w:val="27"/>
          <w:lang w:val="en-US" w:eastAsia="pl-PL"/>
        </w:rPr>
        <w:t>than short-term bonds of the same credit quality</w:t>
      </w:r>
      <w:r w:rsidRPr="00464AEC">
        <w:rPr>
          <w:rFonts w:ascii="Helvetica" w:eastAsia="Times New Roman" w:hAnsi="Helvetica" w:cs="Helvetica"/>
          <w:b/>
          <w:i/>
          <w:color w:val="0A1B32"/>
          <w:sz w:val="27"/>
          <w:szCs w:val="27"/>
          <w:lang w:val="en-US" w:eastAsia="pl-PL"/>
        </w:rPr>
        <w:t>.</w:t>
      </w:r>
    </w:p>
    <w:p w:rsidR="00D05D57" w:rsidRPr="00464AE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464AEC">
        <w:rPr>
          <w:rFonts w:ascii="Helvetica" w:eastAsia="Times New Roman" w:hAnsi="Helvetica" w:cs="Helvetica"/>
          <w:b/>
          <w:i/>
          <w:color w:val="0A1B32"/>
          <w:sz w:val="27"/>
          <w:szCs w:val="27"/>
          <w:lang w:val="en-US" w:eastAsia="pl-PL"/>
        </w:rPr>
        <w:t>39. Which is more volatile, a 20-year zero coupon bond or a 20-year 4.5% coupon bond?</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464AEC">
        <w:rPr>
          <w:rFonts w:ascii="Helvetica" w:eastAsia="Times New Roman" w:hAnsi="Helvetica" w:cs="Helvetica"/>
          <w:b/>
          <w:i/>
          <w:color w:val="0A1B32"/>
          <w:sz w:val="27"/>
          <w:szCs w:val="27"/>
          <w:lang w:val="en-US" w:eastAsia="pl-PL"/>
        </w:rPr>
        <w:t>Zero-coupon bonds</w:t>
      </w:r>
      <w:r w:rsidRPr="00D05D57">
        <w:rPr>
          <w:rFonts w:ascii="Helvetica" w:eastAsia="Times New Roman" w:hAnsi="Helvetica" w:cs="Helvetica"/>
          <w:i/>
          <w:color w:val="0A1B32"/>
          <w:sz w:val="27"/>
          <w:szCs w:val="27"/>
          <w:lang w:val="en-US" w:eastAsia="pl-PL"/>
        </w:rPr>
        <w:t xml:space="preserve"> tend to be </w:t>
      </w:r>
      <w:r w:rsidRPr="00464AEC">
        <w:rPr>
          <w:rFonts w:ascii="Helvetica" w:eastAsia="Times New Roman" w:hAnsi="Helvetica" w:cs="Helvetica"/>
          <w:b/>
          <w:i/>
          <w:color w:val="0A1B32"/>
          <w:sz w:val="27"/>
          <w:szCs w:val="27"/>
          <w:lang w:val="en-US" w:eastAsia="pl-PL"/>
        </w:rPr>
        <w:t>more volatile</w:t>
      </w:r>
      <w:r w:rsidRPr="00D05D57">
        <w:rPr>
          <w:rFonts w:ascii="Helvetica" w:eastAsia="Times New Roman" w:hAnsi="Helvetica" w:cs="Helvetica"/>
          <w:i/>
          <w:color w:val="0A1B32"/>
          <w:sz w:val="27"/>
          <w:szCs w:val="27"/>
          <w:lang w:val="en-US" w:eastAsia="pl-PL"/>
        </w:rPr>
        <w:t xml:space="preserve"> because they do </w:t>
      </w:r>
      <w:r w:rsidRPr="00464AEC">
        <w:rPr>
          <w:rFonts w:ascii="Helvetica" w:eastAsia="Times New Roman" w:hAnsi="Helvetica" w:cs="Helvetica"/>
          <w:b/>
          <w:i/>
          <w:color w:val="0A1B32"/>
          <w:sz w:val="27"/>
          <w:szCs w:val="27"/>
          <w:lang w:val="en-US" w:eastAsia="pl-PL"/>
        </w:rPr>
        <w:t xml:space="preserve">not pay any interest </w:t>
      </w:r>
      <w:r w:rsidRPr="00D05D57">
        <w:rPr>
          <w:rFonts w:ascii="Helvetica" w:eastAsia="Times New Roman" w:hAnsi="Helvetica" w:cs="Helvetica"/>
          <w:i/>
          <w:color w:val="0A1B32"/>
          <w:sz w:val="27"/>
          <w:szCs w:val="27"/>
          <w:lang w:val="en-US" w:eastAsia="pl-PL"/>
        </w:rPr>
        <w:t xml:space="preserve">during the life of the bond. These bondholders receive the face value on maturity, thus the </w:t>
      </w:r>
      <w:r w:rsidRPr="00464AEC">
        <w:rPr>
          <w:rFonts w:ascii="Helvetica" w:eastAsia="Times New Roman" w:hAnsi="Helvetica" w:cs="Helvetica"/>
          <w:b/>
          <w:i/>
          <w:color w:val="0A1B32"/>
          <w:sz w:val="27"/>
          <w:szCs w:val="27"/>
          <w:lang w:val="en-US" w:eastAsia="pl-PL"/>
        </w:rPr>
        <w:t>only value in these bonds happens closer to maturity</w:t>
      </w:r>
      <w:r w:rsidRPr="00D05D57">
        <w:rPr>
          <w:rFonts w:ascii="Helvetica" w:eastAsia="Times New Roman" w:hAnsi="Helvetica" w:cs="Helvetica"/>
          <w:i/>
          <w:color w:val="0A1B32"/>
          <w:sz w:val="27"/>
          <w:szCs w:val="27"/>
          <w:lang w:val="en-US" w:eastAsia="pl-PL"/>
        </w:rPr>
        <w:t>.</w:t>
      </w:r>
    </w:p>
    <w:p w:rsidR="00D05D57" w:rsidRPr="00464AE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464AEC">
        <w:rPr>
          <w:rFonts w:ascii="Helvetica" w:eastAsia="Times New Roman" w:hAnsi="Helvetica" w:cs="Helvetica"/>
          <w:b/>
          <w:i/>
          <w:color w:val="0A1B32"/>
          <w:sz w:val="27"/>
          <w:szCs w:val="27"/>
          <w:lang w:val="en-US" w:eastAsia="pl-PL"/>
        </w:rPr>
        <w:lastRenderedPageBreak/>
        <w:t>40. A stock is selling at $90. A 3-month call with a strike price of $100 is selling for $3.105 with a delta of 0.329. How many call contracts are required to perform a hedge on 1,000 shares of this stock? Would they be bought or sold? What happens if the price of the stock falls to $50?</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I think what you are asking is how many  33 delta call would  1000 shares of the underlying  stock delta hedge. If One option is on 100 shares then 33 options or one option on 3300 shares will have a delta of 1000 share. This will give you a "static hedge". That is small moves in the share price will be exactly offset by changes in the value of your short option position.  A long stock position will hedge a shot call or a long put position. you  would collects 3.105 per share on the 3300 shares or $10,246.5.</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If the shares dropped to 50 you would lose $40,000 on the share but would still have the premium of 10,246.5 so your net loss if this all happens at expiration is</w:t>
      </w:r>
      <w:r w:rsidR="003D3B9D">
        <w:rPr>
          <w:rFonts w:ascii="Helvetica" w:eastAsia="Times New Roman" w:hAnsi="Helvetica" w:cs="Helvetica"/>
          <w:i/>
          <w:color w:val="0A1B32"/>
          <w:sz w:val="27"/>
          <w:szCs w:val="27"/>
          <w:lang w:val="en-US" w:eastAsia="pl-PL"/>
        </w:rPr>
        <w:t xml:space="preserve"> </w:t>
      </w:r>
      <w:r w:rsidRPr="00D05D57">
        <w:rPr>
          <w:rFonts w:ascii="Helvetica" w:eastAsia="Times New Roman" w:hAnsi="Helvetica" w:cs="Helvetica"/>
          <w:i/>
          <w:color w:val="0A1B32"/>
          <w:sz w:val="27"/>
          <w:szCs w:val="27"/>
          <w:lang w:val="en-US" w:eastAsia="pl-PL"/>
        </w:rPr>
        <w:t>29,753.5</w:t>
      </w:r>
    </w:p>
    <w:p w:rsidR="00D05D57" w:rsidRPr="003D3B9D"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3D3B9D">
        <w:rPr>
          <w:rFonts w:ascii="Helvetica" w:eastAsia="Times New Roman" w:hAnsi="Helvetica" w:cs="Helvetica"/>
          <w:b/>
          <w:i/>
          <w:color w:val="0A1B32"/>
          <w:sz w:val="27"/>
          <w:szCs w:val="27"/>
          <w:lang w:val="en-US" w:eastAsia="pl-PL"/>
        </w:rPr>
        <w:t>41. You have two options with the same underlying strike price. One has an exercise date in three months, one has an exercise date in six months. Which comes with the greatest risk?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longer the time to expiry or exercise the greater the risk, and correspondingly the higher the premium. </w:t>
      </w:r>
    </w:p>
    <w:p w:rsidR="00D05D57" w:rsidRPr="003D3B9D"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3D3B9D">
        <w:rPr>
          <w:rFonts w:ascii="Helvetica" w:eastAsia="Times New Roman" w:hAnsi="Helvetica" w:cs="Helvetica"/>
          <w:b/>
          <w:i/>
          <w:color w:val="0A1B32"/>
          <w:sz w:val="27"/>
          <w:szCs w:val="27"/>
          <w:lang w:val="en-US" w:eastAsia="pl-PL"/>
        </w:rPr>
        <w:t>42. What’s the maximum potential loss you could incur by selling a put on a stock?</w:t>
      </w:r>
    </w:p>
    <w:p w:rsidR="00D05D57" w:rsidRPr="003D3B9D"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What is the Maximum Loss Possible When Selling a Put? The maximum loss possible when selling or writing a put is equal to the </w:t>
      </w:r>
      <w:r w:rsidRPr="003D3B9D">
        <w:rPr>
          <w:rFonts w:ascii="Helvetica" w:eastAsia="Times New Roman" w:hAnsi="Helvetica" w:cs="Helvetica"/>
          <w:b/>
          <w:i/>
          <w:color w:val="0A1B32"/>
          <w:sz w:val="27"/>
          <w:szCs w:val="27"/>
          <w:lang w:val="en-US" w:eastAsia="pl-PL"/>
        </w:rPr>
        <w:t>strike price less the premium received.</w:t>
      </w:r>
    </w:p>
    <w:p w:rsidR="00D05D57" w:rsidRPr="003D3B9D"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3D3B9D">
        <w:rPr>
          <w:rFonts w:ascii="Helvetica" w:eastAsia="Times New Roman" w:hAnsi="Helvetica" w:cs="Helvetica"/>
          <w:b/>
          <w:i/>
          <w:color w:val="0A1B32"/>
          <w:sz w:val="27"/>
          <w:szCs w:val="27"/>
          <w:lang w:val="en-US" w:eastAsia="pl-PL"/>
        </w:rPr>
        <w:t>43. What are the risks inherent in an interest rate swap?</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Like most non-government fixed income investments, interest-rate swaps involve two primary risks: </w:t>
      </w:r>
      <w:r w:rsidRPr="003D3B9D">
        <w:rPr>
          <w:rFonts w:ascii="Helvetica" w:eastAsia="Times New Roman" w:hAnsi="Helvetica" w:cs="Helvetica"/>
          <w:b/>
          <w:i/>
          <w:color w:val="0A1B32"/>
          <w:sz w:val="27"/>
          <w:szCs w:val="27"/>
          <w:lang w:val="en-US" w:eastAsia="pl-PL"/>
        </w:rPr>
        <w:t>interest rate risk and credit risk</w:t>
      </w:r>
      <w:r w:rsidRPr="00D05D57">
        <w:rPr>
          <w:rFonts w:ascii="Helvetica" w:eastAsia="Times New Roman" w:hAnsi="Helvetica" w:cs="Helvetica"/>
          <w:i/>
          <w:color w:val="0A1B32"/>
          <w:sz w:val="27"/>
          <w:szCs w:val="27"/>
          <w:lang w:val="en-US" w:eastAsia="pl-PL"/>
        </w:rPr>
        <w:t xml:space="preserve">, which is known in the swaps market as </w:t>
      </w:r>
      <w:r w:rsidRPr="003D3B9D">
        <w:rPr>
          <w:rFonts w:ascii="Helvetica" w:eastAsia="Times New Roman" w:hAnsi="Helvetica" w:cs="Helvetica"/>
          <w:b/>
          <w:i/>
          <w:color w:val="0A1B32"/>
          <w:sz w:val="27"/>
          <w:szCs w:val="27"/>
          <w:lang w:val="en-US" w:eastAsia="pl-PL"/>
        </w:rPr>
        <w:t>counterparty risk</w:t>
      </w:r>
      <w:r w:rsidRPr="00D05D57">
        <w:rPr>
          <w:rFonts w:ascii="Helvetica" w:eastAsia="Times New Roman" w:hAnsi="Helvetica" w:cs="Helvetica"/>
          <w:i/>
          <w:color w:val="0A1B32"/>
          <w:sz w:val="27"/>
          <w:szCs w:val="27"/>
          <w:lang w:val="en-US" w:eastAsia="pl-PL"/>
        </w:rPr>
        <w:t>. Because actual interest rate movements do not always match expectations, swaps entail interest-rate risk.</w:t>
      </w:r>
    </w:p>
    <w:p w:rsidR="00D05D57" w:rsidRPr="003D3B9D"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3D3B9D">
        <w:rPr>
          <w:rFonts w:ascii="Helvetica" w:eastAsia="Times New Roman" w:hAnsi="Helvetica" w:cs="Helvetica"/>
          <w:b/>
          <w:i/>
          <w:color w:val="0A1B32"/>
          <w:sz w:val="27"/>
          <w:szCs w:val="27"/>
          <w:lang w:val="en-US" w:eastAsia="pl-PL"/>
        </w:rPr>
        <w:t xml:space="preserve">Questions related to regulation: </w:t>
      </w:r>
    </w:p>
    <w:p w:rsidR="00D05D57" w:rsidRPr="003D3B9D"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3D3B9D">
        <w:rPr>
          <w:rFonts w:ascii="Helvetica" w:eastAsia="Times New Roman" w:hAnsi="Helvetica" w:cs="Helvetica"/>
          <w:b/>
          <w:i/>
          <w:color w:val="0A1B32"/>
          <w:sz w:val="27"/>
          <w:szCs w:val="27"/>
          <w:lang w:val="en-US" w:eastAsia="pl-PL"/>
        </w:rPr>
        <w:t>44. How has Basel III changed the treatment of market risk?</w:t>
      </w:r>
    </w:p>
    <w:p w:rsidR="00D05D57" w:rsidRPr="00F336A5" w:rsidRDefault="00D05D57" w:rsidP="00F336A5">
      <w:pPr>
        <w:pStyle w:val="ListParagraph"/>
        <w:numPr>
          <w:ilvl w:val="0"/>
          <w:numId w:val="23"/>
        </w:numPr>
        <w:spacing w:after="100" w:afterAutospacing="1" w:line="240" w:lineRule="auto"/>
        <w:jc w:val="both"/>
        <w:rPr>
          <w:rFonts w:ascii="Helvetica" w:eastAsia="Times New Roman" w:hAnsi="Helvetica" w:cs="Helvetica"/>
          <w:i/>
          <w:color w:val="0A1B32"/>
          <w:sz w:val="27"/>
          <w:szCs w:val="27"/>
          <w:lang w:val="en-US" w:eastAsia="pl-PL"/>
        </w:rPr>
      </w:pPr>
      <w:r w:rsidRPr="00F336A5">
        <w:rPr>
          <w:rFonts w:ascii="Helvetica" w:eastAsia="Times New Roman" w:hAnsi="Helvetica" w:cs="Helvetica"/>
          <w:i/>
          <w:color w:val="0A1B32"/>
          <w:sz w:val="27"/>
          <w:szCs w:val="27"/>
          <w:lang w:val="en-US" w:eastAsia="pl-PL"/>
        </w:rPr>
        <w:t xml:space="preserve">Trading positions often face significant financial loss due to their exposure to volatilities present in underlying market risk factors. As it stands today, the </w:t>
      </w:r>
      <w:r w:rsidRPr="00F336A5">
        <w:rPr>
          <w:rFonts w:ascii="Helvetica" w:eastAsia="Times New Roman" w:hAnsi="Helvetica" w:cs="Helvetica"/>
          <w:b/>
          <w:i/>
          <w:color w:val="0A1B32"/>
          <w:sz w:val="27"/>
          <w:szCs w:val="27"/>
          <w:lang w:val="en-US" w:eastAsia="pl-PL"/>
        </w:rPr>
        <w:t xml:space="preserve">trading book fails to capture the severity of such </w:t>
      </w:r>
      <w:r w:rsidRPr="00F336A5">
        <w:rPr>
          <w:rFonts w:ascii="Helvetica" w:eastAsia="Times New Roman" w:hAnsi="Helvetica" w:cs="Helvetica"/>
          <w:b/>
          <w:i/>
          <w:color w:val="0A1B32"/>
          <w:sz w:val="27"/>
          <w:szCs w:val="27"/>
          <w:lang w:val="en-US" w:eastAsia="pl-PL"/>
        </w:rPr>
        <w:lastRenderedPageBreak/>
        <w:t>losses adequately</w:t>
      </w:r>
      <w:r w:rsidRPr="00F336A5">
        <w:rPr>
          <w:rFonts w:ascii="Helvetica" w:eastAsia="Times New Roman" w:hAnsi="Helvetica" w:cs="Helvetica"/>
          <w:i/>
          <w:color w:val="0A1B32"/>
          <w:sz w:val="27"/>
          <w:szCs w:val="27"/>
          <w:lang w:val="en-US" w:eastAsia="pl-PL"/>
        </w:rPr>
        <w:t xml:space="preserve">, which has spurred the BCBS to propose a framework for the estimation of the </w:t>
      </w:r>
      <w:r w:rsidRPr="00F336A5">
        <w:rPr>
          <w:rFonts w:ascii="Helvetica" w:eastAsia="Times New Roman" w:hAnsi="Helvetica" w:cs="Helvetica"/>
          <w:b/>
          <w:i/>
          <w:color w:val="0A1B32"/>
          <w:sz w:val="27"/>
          <w:szCs w:val="27"/>
          <w:lang w:val="en-US" w:eastAsia="pl-PL"/>
        </w:rPr>
        <w:t>minimum capital requirements for market</w:t>
      </w:r>
      <w:r w:rsidRPr="00F336A5">
        <w:rPr>
          <w:rFonts w:ascii="Helvetica" w:eastAsia="Times New Roman" w:hAnsi="Helvetica" w:cs="Helvetica"/>
          <w:i/>
          <w:color w:val="0A1B32"/>
          <w:sz w:val="27"/>
          <w:szCs w:val="27"/>
          <w:lang w:val="en-US" w:eastAsia="pl-PL"/>
        </w:rPr>
        <w:t xml:space="preserve"> </w:t>
      </w:r>
      <w:r w:rsidRPr="00F336A5">
        <w:rPr>
          <w:rFonts w:ascii="Helvetica" w:eastAsia="Times New Roman" w:hAnsi="Helvetica" w:cs="Helvetica"/>
          <w:b/>
          <w:i/>
          <w:color w:val="0A1B32"/>
          <w:sz w:val="27"/>
          <w:szCs w:val="27"/>
          <w:lang w:val="en-US" w:eastAsia="pl-PL"/>
        </w:rPr>
        <w:t>risk</w:t>
      </w:r>
      <w:r w:rsidRPr="00F336A5">
        <w:rPr>
          <w:rFonts w:ascii="Helvetica" w:eastAsia="Times New Roman" w:hAnsi="Helvetica" w:cs="Helvetica"/>
          <w:i/>
          <w:color w:val="0A1B32"/>
          <w:sz w:val="27"/>
          <w:szCs w:val="27"/>
          <w:lang w:val="en-US" w:eastAsia="pl-PL"/>
        </w:rPr>
        <w:t xml:space="preserve">, also known as the </w:t>
      </w:r>
      <w:r w:rsidRPr="00F336A5">
        <w:rPr>
          <w:rFonts w:ascii="Helvetica" w:eastAsia="Times New Roman" w:hAnsi="Helvetica" w:cs="Helvetica"/>
          <w:b/>
          <w:i/>
          <w:color w:val="0A1B32"/>
          <w:sz w:val="27"/>
          <w:szCs w:val="27"/>
          <w:lang w:val="en-US" w:eastAsia="pl-PL"/>
        </w:rPr>
        <w:t>Fundamental Review of the Trading Book</w:t>
      </w:r>
      <w:r w:rsidRPr="00F336A5">
        <w:rPr>
          <w:rFonts w:ascii="Helvetica" w:eastAsia="Times New Roman" w:hAnsi="Helvetica" w:cs="Helvetica"/>
          <w:i/>
          <w:color w:val="0A1B32"/>
          <w:sz w:val="27"/>
          <w:szCs w:val="27"/>
          <w:lang w:val="en-US" w:eastAsia="pl-PL"/>
        </w:rPr>
        <w:t>, more commonly known as FRTB (BCBS, 2013[1], 2016[2], 2017[3]). Moreover, the Basel Committee is currently monitoring and revising the implementation of the market risk standard, and proposing updated methods (BCBS, 2018[4]).</w:t>
      </w:r>
    </w:p>
    <w:p w:rsidR="00D05D57" w:rsidRPr="00F336A5" w:rsidRDefault="00D05D57" w:rsidP="00F336A5">
      <w:pPr>
        <w:pStyle w:val="ListParagraph"/>
        <w:numPr>
          <w:ilvl w:val="0"/>
          <w:numId w:val="22"/>
        </w:numPr>
        <w:spacing w:after="100" w:afterAutospacing="1" w:line="240" w:lineRule="auto"/>
        <w:jc w:val="both"/>
        <w:rPr>
          <w:rFonts w:ascii="Helvetica" w:eastAsia="Times New Roman" w:hAnsi="Helvetica" w:cs="Helvetica"/>
          <w:i/>
          <w:color w:val="0A1B32"/>
          <w:sz w:val="27"/>
          <w:szCs w:val="27"/>
          <w:lang w:val="en-US" w:eastAsia="pl-PL"/>
        </w:rPr>
      </w:pPr>
      <w:r w:rsidRPr="00F336A5">
        <w:rPr>
          <w:rFonts w:ascii="Helvetica" w:eastAsia="Times New Roman" w:hAnsi="Helvetica" w:cs="Helvetica"/>
          <w:b/>
          <w:i/>
          <w:color w:val="0A1B32"/>
          <w:sz w:val="27"/>
          <w:szCs w:val="27"/>
          <w:lang w:val="en-US" w:eastAsia="pl-PL"/>
        </w:rPr>
        <w:t>Market liquidity risk</w:t>
      </w:r>
      <w:r w:rsidRPr="00F336A5">
        <w:rPr>
          <w:rFonts w:ascii="Helvetica" w:eastAsia="Times New Roman" w:hAnsi="Helvetica" w:cs="Helvetica"/>
          <w:i/>
          <w:color w:val="0A1B32"/>
          <w:sz w:val="27"/>
          <w:szCs w:val="27"/>
          <w:lang w:val="en-US" w:eastAsia="pl-PL"/>
        </w:rPr>
        <w:t xml:space="preserve"> plays a key role in both the </w:t>
      </w:r>
      <w:r w:rsidRPr="00F336A5">
        <w:rPr>
          <w:rFonts w:ascii="Helvetica" w:eastAsia="Times New Roman" w:hAnsi="Helvetica" w:cs="Helvetica"/>
          <w:b/>
          <w:i/>
          <w:color w:val="0A1B32"/>
          <w:sz w:val="27"/>
          <w:szCs w:val="27"/>
          <w:lang w:val="en-US" w:eastAsia="pl-PL"/>
        </w:rPr>
        <w:t>standardized approach (SA)</w:t>
      </w:r>
      <w:r w:rsidRPr="00F336A5">
        <w:rPr>
          <w:rFonts w:ascii="Helvetica" w:eastAsia="Times New Roman" w:hAnsi="Helvetica" w:cs="Helvetica"/>
          <w:i/>
          <w:color w:val="0A1B32"/>
          <w:sz w:val="27"/>
          <w:szCs w:val="27"/>
          <w:lang w:val="en-US" w:eastAsia="pl-PL"/>
        </w:rPr>
        <w:t xml:space="preserve"> and the </w:t>
      </w:r>
      <w:r w:rsidRPr="00F336A5">
        <w:rPr>
          <w:rFonts w:ascii="Helvetica" w:eastAsia="Times New Roman" w:hAnsi="Helvetica" w:cs="Helvetica"/>
          <w:b/>
          <w:i/>
          <w:color w:val="0A1B32"/>
          <w:sz w:val="27"/>
          <w:szCs w:val="27"/>
          <w:lang w:val="en-US" w:eastAsia="pl-PL"/>
        </w:rPr>
        <w:t>internal model approach (IMA).</w:t>
      </w:r>
      <w:r w:rsidRPr="00F336A5">
        <w:rPr>
          <w:rFonts w:ascii="Helvetica" w:eastAsia="Times New Roman" w:hAnsi="Helvetica" w:cs="Helvetica"/>
          <w:i/>
          <w:color w:val="0A1B32"/>
          <w:sz w:val="27"/>
          <w:szCs w:val="27"/>
          <w:lang w:val="en-US" w:eastAsia="pl-PL"/>
        </w:rPr>
        <w:t xml:space="preserve"> In the IMA the framework introduces the </w:t>
      </w:r>
      <w:r w:rsidRPr="00F336A5">
        <w:rPr>
          <w:rFonts w:ascii="Helvetica" w:eastAsia="Times New Roman" w:hAnsi="Helvetica" w:cs="Helvetica"/>
          <w:b/>
          <w:i/>
          <w:color w:val="0A1B32"/>
          <w:sz w:val="27"/>
          <w:szCs w:val="27"/>
          <w:lang w:val="en-US" w:eastAsia="pl-PL"/>
        </w:rPr>
        <w:t>expected shortfall (ES),</w:t>
      </w:r>
      <w:r w:rsidRPr="00F336A5">
        <w:rPr>
          <w:rFonts w:ascii="Helvetica" w:eastAsia="Times New Roman" w:hAnsi="Helvetica" w:cs="Helvetica"/>
          <w:i/>
          <w:color w:val="0A1B32"/>
          <w:sz w:val="27"/>
          <w:szCs w:val="27"/>
          <w:lang w:val="en-US" w:eastAsia="pl-PL"/>
        </w:rPr>
        <w:t xml:space="preserve"> substituting </w:t>
      </w:r>
      <w:r w:rsidRPr="00F336A5">
        <w:rPr>
          <w:rFonts w:ascii="Helvetica" w:eastAsia="Times New Roman" w:hAnsi="Helvetica" w:cs="Helvetica"/>
          <w:b/>
          <w:i/>
          <w:color w:val="0A1B32"/>
          <w:sz w:val="27"/>
          <w:szCs w:val="27"/>
          <w:lang w:val="en-US" w:eastAsia="pl-PL"/>
        </w:rPr>
        <w:t>the value at risk (</w:t>
      </w:r>
      <w:proofErr w:type="spellStart"/>
      <w:r w:rsidRPr="00F336A5">
        <w:rPr>
          <w:rFonts w:ascii="Helvetica" w:eastAsia="Times New Roman" w:hAnsi="Helvetica" w:cs="Helvetica"/>
          <w:b/>
          <w:i/>
          <w:color w:val="0A1B32"/>
          <w:sz w:val="27"/>
          <w:szCs w:val="27"/>
          <w:lang w:val="en-US" w:eastAsia="pl-PL"/>
        </w:rPr>
        <w:t>VaR</w:t>
      </w:r>
      <w:proofErr w:type="spellEnd"/>
      <w:r w:rsidRPr="00F336A5">
        <w:rPr>
          <w:rFonts w:ascii="Helvetica" w:eastAsia="Times New Roman" w:hAnsi="Helvetica" w:cs="Helvetica"/>
          <w:b/>
          <w:i/>
          <w:color w:val="0A1B32"/>
          <w:sz w:val="27"/>
          <w:szCs w:val="27"/>
          <w:lang w:val="en-US" w:eastAsia="pl-PL"/>
        </w:rPr>
        <w:t>)</w:t>
      </w:r>
      <w:r w:rsidRPr="00F336A5">
        <w:rPr>
          <w:rFonts w:ascii="Helvetica" w:eastAsia="Times New Roman" w:hAnsi="Helvetica" w:cs="Helvetica"/>
          <w:i/>
          <w:color w:val="0A1B32"/>
          <w:sz w:val="27"/>
          <w:szCs w:val="27"/>
          <w:lang w:val="en-US" w:eastAsia="pl-PL"/>
        </w:rPr>
        <w:t xml:space="preserve"> as a measure for the measurement of market risk. The new framework also introduces a </w:t>
      </w:r>
      <w:r w:rsidRPr="00F336A5">
        <w:rPr>
          <w:rFonts w:ascii="Helvetica" w:eastAsia="Times New Roman" w:hAnsi="Helvetica" w:cs="Helvetica"/>
          <w:b/>
          <w:i/>
          <w:color w:val="0A1B32"/>
          <w:sz w:val="27"/>
          <w:szCs w:val="27"/>
          <w:lang w:val="en-US" w:eastAsia="pl-PL"/>
        </w:rPr>
        <w:t xml:space="preserve">profit and loss attribution (PLA) </w:t>
      </w:r>
      <w:r w:rsidRPr="00F336A5">
        <w:rPr>
          <w:rFonts w:ascii="Helvetica" w:eastAsia="Times New Roman" w:hAnsi="Helvetica" w:cs="Helvetica"/>
          <w:i/>
          <w:color w:val="0A1B32"/>
          <w:sz w:val="27"/>
          <w:szCs w:val="27"/>
          <w:lang w:val="en-US" w:eastAsia="pl-PL"/>
        </w:rPr>
        <w:t>test that the trading desk must pass if they want to implement IMA.</w:t>
      </w:r>
    </w:p>
    <w:p w:rsidR="00D05D57" w:rsidRPr="00F336A5" w:rsidRDefault="00D05D57" w:rsidP="00F336A5">
      <w:pPr>
        <w:pStyle w:val="ListParagraph"/>
        <w:numPr>
          <w:ilvl w:val="0"/>
          <w:numId w:val="22"/>
        </w:numPr>
        <w:spacing w:after="100" w:afterAutospacing="1" w:line="240" w:lineRule="auto"/>
        <w:jc w:val="both"/>
        <w:rPr>
          <w:rFonts w:ascii="Helvetica" w:eastAsia="Times New Roman" w:hAnsi="Helvetica" w:cs="Helvetica"/>
          <w:i/>
          <w:color w:val="0A1B32"/>
          <w:sz w:val="27"/>
          <w:szCs w:val="27"/>
          <w:lang w:val="en-US" w:eastAsia="pl-PL"/>
        </w:rPr>
      </w:pPr>
      <w:r w:rsidRPr="00F336A5">
        <w:rPr>
          <w:rFonts w:ascii="Helvetica" w:eastAsia="Times New Roman" w:hAnsi="Helvetica" w:cs="Helvetica"/>
          <w:i/>
          <w:color w:val="0A1B32"/>
          <w:sz w:val="27"/>
          <w:szCs w:val="27"/>
          <w:lang w:val="en-US" w:eastAsia="pl-PL"/>
        </w:rPr>
        <w:t xml:space="preserve">Banks do not only have to estimate capital against the exposure to </w:t>
      </w:r>
      <w:proofErr w:type="spellStart"/>
      <w:r w:rsidRPr="00F336A5">
        <w:rPr>
          <w:rFonts w:ascii="Helvetica" w:eastAsia="Times New Roman" w:hAnsi="Helvetica" w:cs="Helvetica"/>
          <w:b/>
          <w:i/>
          <w:color w:val="0A1B32"/>
          <w:sz w:val="27"/>
          <w:szCs w:val="27"/>
          <w:lang w:val="en-US" w:eastAsia="pl-PL"/>
        </w:rPr>
        <w:t>modellable</w:t>
      </w:r>
      <w:proofErr w:type="spellEnd"/>
      <w:r w:rsidRPr="00F336A5">
        <w:rPr>
          <w:rFonts w:ascii="Helvetica" w:eastAsia="Times New Roman" w:hAnsi="Helvetica" w:cs="Helvetica"/>
          <w:b/>
          <w:i/>
          <w:color w:val="0A1B32"/>
          <w:sz w:val="27"/>
          <w:szCs w:val="27"/>
          <w:lang w:val="en-US" w:eastAsia="pl-PL"/>
        </w:rPr>
        <w:t xml:space="preserve"> risk factors</w:t>
      </w:r>
      <w:r w:rsidRPr="00F336A5">
        <w:rPr>
          <w:rFonts w:ascii="Helvetica" w:eastAsia="Times New Roman" w:hAnsi="Helvetica" w:cs="Helvetica"/>
          <w:i/>
          <w:color w:val="0A1B32"/>
          <w:sz w:val="27"/>
          <w:szCs w:val="27"/>
          <w:lang w:val="en-US" w:eastAsia="pl-PL"/>
        </w:rPr>
        <w:t xml:space="preserve">. The framework now </w:t>
      </w:r>
      <w:r w:rsidRPr="00F336A5">
        <w:rPr>
          <w:rFonts w:ascii="Helvetica" w:eastAsia="Times New Roman" w:hAnsi="Helvetica" w:cs="Helvetica"/>
          <w:b/>
          <w:i/>
          <w:color w:val="0A1B32"/>
          <w:sz w:val="27"/>
          <w:szCs w:val="27"/>
          <w:lang w:val="en-US" w:eastAsia="pl-PL"/>
        </w:rPr>
        <w:t>recognizes an additional capital requirement dedicated to non-</w:t>
      </w:r>
      <w:proofErr w:type="spellStart"/>
      <w:r w:rsidRPr="00F336A5">
        <w:rPr>
          <w:rFonts w:ascii="Helvetica" w:eastAsia="Times New Roman" w:hAnsi="Helvetica" w:cs="Helvetica"/>
          <w:b/>
          <w:i/>
          <w:color w:val="0A1B32"/>
          <w:sz w:val="27"/>
          <w:szCs w:val="27"/>
          <w:lang w:val="en-US" w:eastAsia="pl-PL"/>
        </w:rPr>
        <w:t>modellable</w:t>
      </w:r>
      <w:proofErr w:type="spellEnd"/>
      <w:r w:rsidRPr="00F336A5">
        <w:rPr>
          <w:rFonts w:ascii="Helvetica" w:eastAsia="Times New Roman" w:hAnsi="Helvetica" w:cs="Helvetica"/>
          <w:b/>
          <w:i/>
          <w:color w:val="0A1B32"/>
          <w:sz w:val="27"/>
          <w:szCs w:val="27"/>
          <w:lang w:val="en-US" w:eastAsia="pl-PL"/>
        </w:rPr>
        <w:t xml:space="preserve"> risk factors</w:t>
      </w:r>
      <w:r w:rsidRPr="00F336A5">
        <w:rPr>
          <w:rFonts w:ascii="Helvetica" w:eastAsia="Times New Roman" w:hAnsi="Helvetica" w:cs="Helvetica"/>
          <w:i/>
          <w:color w:val="0A1B32"/>
          <w:sz w:val="27"/>
          <w:szCs w:val="27"/>
          <w:lang w:val="en-US" w:eastAsia="pl-PL"/>
        </w:rPr>
        <w:t xml:space="preserve"> (NMRFs).</w:t>
      </w:r>
    </w:p>
    <w:p w:rsidR="00D05D57" w:rsidRPr="00F336A5" w:rsidRDefault="00D05D57" w:rsidP="00F336A5">
      <w:pPr>
        <w:pStyle w:val="ListParagraph"/>
        <w:numPr>
          <w:ilvl w:val="0"/>
          <w:numId w:val="22"/>
        </w:numPr>
        <w:spacing w:after="100" w:afterAutospacing="1" w:line="240" w:lineRule="auto"/>
        <w:jc w:val="both"/>
        <w:rPr>
          <w:rFonts w:ascii="Helvetica" w:eastAsia="Times New Roman" w:hAnsi="Helvetica" w:cs="Helvetica"/>
          <w:i/>
          <w:color w:val="0A1B32"/>
          <w:sz w:val="27"/>
          <w:szCs w:val="27"/>
          <w:lang w:val="en-US" w:eastAsia="pl-PL"/>
        </w:rPr>
      </w:pPr>
      <w:r w:rsidRPr="00F336A5">
        <w:rPr>
          <w:rFonts w:ascii="Helvetica" w:eastAsia="Times New Roman" w:hAnsi="Helvetica" w:cs="Helvetica"/>
          <w:i/>
          <w:color w:val="0A1B32"/>
          <w:sz w:val="27"/>
          <w:szCs w:val="27"/>
          <w:lang w:val="en-US" w:eastAsia="pl-PL"/>
        </w:rPr>
        <w:t xml:space="preserve">To ensure banks do </w:t>
      </w:r>
      <w:r w:rsidRPr="00F336A5">
        <w:rPr>
          <w:rFonts w:ascii="Helvetica" w:eastAsia="Times New Roman" w:hAnsi="Helvetica" w:cs="Helvetica"/>
          <w:b/>
          <w:i/>
          <w:color w:val="0A1B32"/>
          <w:sz w:val="27"/>
          <w:szCs w:val="27"/>
          <w:lang w:val="en-US" w:eastAsia="pl-PL"/>
        </w:rPr>
        <w:t>not create regulatory arbitrage</w:t>
      </w:r>
      <w:r w:rsidRPr="00F336A5">
        <w:rPr>
          <w:rFonts w:ascii="Helvetica" w:eastAsia="Times New Roman" w:hAnsi="Helvetica" w:cs="Helvetica"/>
          <w:i/>
          <w:color w:val="0A1B32"/>
          <w:sz w:val="27"/>
          <w:szCs w:val="27"/>
          <w:lang w:val="en-US" w:eastAsia="pl-PL"/>
        </w:rPr>
        <w:t xml:space="preserve">, the new framework aims to </w:t>
      </w:r>
      <w:r w:rsidRPr="00F336A5">
        <w:rPr>
          <w:rFonts w:ascii="Helvetica" w:eastAsia="Times New Roman" w:hAnsi="Helvetica" w:cs="Helvetica"/>
          <w:b/>
          <w:i/>
          <w:color w:val="0A1B32"/>
          <w:sz w:val="27"/>
          <w:szCs w:val="27"/>
          <w:lang w:val="en-US" w:eastAsia="pl-PL"/>
        </w:rPr>
        <w:t>close the gaps between the treatment of trading and banking book exposures</w:t>
      </w:r>
      <w:r w:rsidRPr="00F336A5">
        <w:rPr>
          <w:rFonts w:ascii="Helvetica" w:eastAsia="Times New Roman" w:hAnsi="Helvetica" w:cs="Helvetica"/>
          <w:i/>
          <w:color w:val="0A1B32"/>
          <w:sz w:val="27"/>
          <w:szCs w:val="27"/>
          <w:lang w:val="en-US" w:eastAsia="pl-PL"/>
        </w:rPr>
        <w:t>. To this end updated revisions to the boundary between the two books have been proposed by the committee (BCBS, 20184).</w:t>
      </w:r>
    </w:p>
    <w:p w:rsidR="00D05D57" w:rsidRPr="0071106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71106C">
        <w:rPr>
          <w:rFonts w:ascii="Helvetica" w:eastAsia="Times New Roman" w:hAnsi="Helvetica" w:cs="Helvetica"/>
          <w:b/>
          <w:i/>
          <w:color w:val="0A1B32"/>
          <w:sz w:val="27"/>
          <w:szCs w:val="27"/>
          <w:lang w:val="en-US" w:eastAsia="pl-PL"/>
        </w:rPr>
        <w:t>The Standardized Approach to Market Risk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Banks must devote a series of methods for implementing the standardized approach (SA) (Figure 1): a) </w:t>
      </w:r>
      <w:r w:rsidRPr="005F4F7A">
        <w:rPr>
          <w:rFonts w:ascii="Helvetica" w:eastAsia="Times New Roman" w:hAnsi="Helvetica" w:cs="Helvetica"/>
          <w:b/>
          <w:i/>
          <w:color w:val="0A1B32"/>
          <w:sz w:val="27"/>
          <w:szCs w:val="27"/>
          <w:lang w:val="en-US" w:eastAsia="pl-PL"/>
        </w:rPr>
        <w:t>the sensitivities-based method (</w:t>
      </w:r>
      <w:proofErr w:type="spellStart"/>
      <w:r w:rsidRPr="005F4F7A">
        <w:rPr>
          <w:rFonts w:ascii="Helvetica" w:eastAsia="Times New Roman" w:hAnsi="Helvetica" w:cs="Helvetica"/>
          <w:b/>
          <w:i/>
          <w:color w:val="0A1B32"/>
          <w:sz w:val="27"/>
          <w:szCs w:val="27"/>
          <w:lang w:val="en-US" w:eastAsia="pl-PL"/>
        </w:rPr>
        <w:t>SbM</w:t>
      </w:r>
      <w:proofErr w:type="spellEnd"/>
      <w:r w:rsidRPr="005F4F7A">
        <w:rPr>
          <w:rFonts w:ascii="Helvetica" w:eastAsia="Times New Roman" w:hAnsi="Helvetica" w:cs="Helvetica"/>
          <w:b/>
          <w:i/>
          <w:color w:val="0A1B32"/>
          <w:sz w:val="27"/>
          <w:szCs w:val="27"/>
          <w:lang w:val="en-US" w:eastAsia="pl-PL"/>
        </w:rPr>
        <w:t>),</w:t>
      </w:r>
      <w:r w:rsidRPr="00D05D57">
        <w:rPr>
          <w:rFonts w:ascii="Helvetica" w:eastAsia="Times New Roman" w:hAnsi="Helvetica" w:cs="Helvetica"/>
          <w:i/>
          <w:color w:val="0A1B32"/>
          <w:sz w:val="27"/>
          <w:szCs w:val="27"/>
          <w:lang w:val="en-US" w:eastAsia="pl-PL"/>
        </w:rPr>
        <w:t xml:space="preserve"> b) </w:t>
      </w:r>
      <w:r w:rsidRPr="000866C3">
        <w:rPr>
          <w:rFonts w:ascii="Helvetica" w:eastAsia="Times New Roman" w:hAnsi="Helvetica" w:cs="Helvetica"/>
          <w:b/>
          <w:i/>
          <w:color w:val="0A1B32"/>
          <w:sz w:val="27"/>
          <w:szCs w:val="27"/>
          <w:lang w:val="en-US" w:eastAsia="pl-PL"/>
        </w:rPr>
        <w:t>the default risk charge (DRC),</w:t>
      </w:r>
      <w:r w:rsidRPr="00D05D57">
        <w:rPr>
          <w:rFonts w:ascii="Helvetica" w:eastAsia="Times New Roman" w:hAnsi="Helvetica" w:cs="Helvetica"/>
          <w:i/>
          <w:color w:val="0A1B32"/>
          <w:sz w:val="27"/>
          <w:szCs w:val="27"/>
          <w:lang w:val="en-US" w:eastAsia="pl-PL"/>
        </w:rPr>
        <w:t xml:space="preserve"> and c) </w:t>
      </w:r>
      <w:r w:rsidRPr="000866C3">
        <w:rPr>
          <w:rFonts w:ascii="Helvetica" w:eastAsia="Times New Roman" w:hAnsi="Helvetica" w:cs="Helvetica"/>
          <w:b/>
          <w:i/>
          <w:color w:val="0A1B32"/>
          <w:sz w:val="27"/>
          <w:szCs w:val="27"/>
          <w:lang w:val="en-US" w:eastAsia="pl-PL"/>
        </w:rPr>
        <w:t>the residual risks add-on (RRAO) methods.</w:t>
      </w:r>
      <w:r w:rsidRPr="00D05D57">
        <w:rPr>
          <w:rFonts w:ascii="Helvetica" w:eastAsia="Times New Roman" w:hAnsi="Helvetica" w:cs="Helvetica"/>
          <w:i/>
          <w:color w:val="0A1B32"/>
          <w:sz w:val="27"/>
          <w:szCs w:val="27"/>
          <w:lang w:val="en-US" w:eastAsia="pl-PL"/>
        </w:rPr>
        <w:t xml:space="preserve"> The committee also proposes a simplified alternative standardized approach to market risk.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 xml:space="preserve"> </w:t>
      </w:r>
      <w:r w:rsidR="003D3B9D">
        <w:rPr>
          <w:rFonts w:ascii="Arial" w:hAnsi="Arial" w:cs="Arial"/>
          <w:noProof/>
          <w:color w:val="232323"/>
        </w:rPr>
        <w:drawing>
          <wp:inline distT="0" distB="0" distL="0" distR="0" wp14:anchorId="09065C67" wp14:editId="54139CC1">
            <wp:extent cx="5715000" cy="3381375"/>
            <wp:effectExtent l="0" t="0" r="0" b="9525"/>
            <wp:docPr id="49" name="Picture 49" descr="FRTB Commentary 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TB Commentary Fig.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381375"/>
                    </a:xfrm>
                    <a:prstGeom prst="rect">
                      <a:avLst/>
                    </a:prstGeom>
                    <a:noFill/>
                    <a:ln>
                      <a:noFill/>
                    </a:ln>
                  </pic:spPr>
                </pic:pic>
              </a:graphicData>
            </a:graphic>
          </wp:inline>
        </w:drawing>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Figure 1: Methods for implementing the standardized approach</w:t>
      </w:r>
    </w:p>
    <w:p w:rsidR="00D05D57" w:rsidRPr="009B5034"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9B5034">
        <w:rPr>
          <w:rFonts w:ascii="Helvetica" w:eastAsia="Times New Roman" w:hAnsi="Helvetica" w:cs="Helvetica"/>
          <w:b/>
          <w:i/>
          <w:color w:val="0A1B32"/>
          <w:sz w:val="27"/>
          <w:szCs w:val="27"/>
          <w:lang w:val="en-US" w:eastAsia="pl-PL"/>
        </w:rPr>
        <w:t>Sensitivities-based Method</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w:t>
      </w:r>
      <w:proofErr w:type="spellStart"/>
      <w:r w:rsidRPr="00D05D57">
        <w:rPr>
          <w:rFonts w:ascii="Helvetica" w:eastAsia="Times New Roman" w:hAnsi="Helvetica" w:cs="Helvetica"/>
          <w:i/>
          <w:color w:val="0A1B32"/>
          <w:sz w:val="27"/>
          <w:szCs w:val="27"/>
          <w:lang w:val="en-US" w:eastAsia="pl-PL"/>
        </w:rPr>
        <w:t>SbM</w:t>
      </w:r>
      <w:proofErr w:type="spellEnd"/>
      <w:r w:rsidRPr="00D05D57">
        <w:rPr>
          <w:rFonts w:ascii="Helvetica" w:eastAsia="Times New Roman" w:hAnsi="Helvetica" w:cs="Helvetica"/>
          <w:i/>
          <w:color w:val="0A1B32"/>
          <w:sz w:val="27"/>
          <w:szCs w:val="27"/>
          <w:lang w:val="en-US" w:eastAsia="pl-PL"/>
        </w:rPr>
        <w:t xml:space="preserve"> framework suggests that banks use </w:t>
      </w:r>
      <w:r w:rsidRPr="004B6103">
        <w:rPr>
          <w:rFonts w:ascii="Helvetica" w:eastAsia="Times New Roman" w:hAnsi="Helvetica" w:cs="Helvetica"/>
          <w:b/>
          <w:i/>
          <w:color w:val="0A1B32"/>
          <w:sz w:val="27"/>
          <w:szCs w:val="27"/>
          <w:lang w:val="en-US" w:eastAsia="pl-PL"/>
        </w:rPr>
        <w:t xml:space="preserve">sensitivity analysis for the estimation of capital charges against delta, </w:t>
      </w:r>
      <w:proofErr w:type="spellStart"/>
      <w:r w:rsidRPr="004B6103">
        <w:rPr>
          <w:rFonts w:ascii="Helvetica" w:eastAsia="Times New Roman" w:hAnsi="Helvetica" w:cs="Helvetica"/>
          <w:b/>
          <w:i/>
          <w:color w:val="0A1B32"/>
          <w:sz w:val="27"/>
          <w:szCs w:val="27"/>
          <w:lang w:val="en-US" w:eastAsia="pl-PL"/>
        </w:rPr>
        <w:t>vega</w:t>
      </w:r>
      <w:proofErr w:type="spellEnd"/>
      <w:r w:rsidRPr="004B6103">
        <w:rPr>
          <w:rFonts w:ascii="Helvetica" w:eastAsia="Times New Roman" w:hAnsi="Helvetica" w:cs="Helvetica"/>
          <w:b/>
          <w:i/>
          <w:color w:val="0A1B32"/>
          <w:sz w:val="27"/>
          <w:szCs w:val="27"/>
          <w:lang w:val="en-US" w:eastAsia="pl-PL"/>
        </w:rPr>
        <w:t>, and curvature risks</w:t>
      </w:r>
      <w:r w:rsidRPr="00D05D57">
        <w:rPr>
          <w:rFonts w:ascii="Helvetica" w:eastAsia="Times New Roman" w:hAnsi="Helvetica" w:cs="Helvetica"/>
          <w:i/>
          <w:color w:val="0A1B32"/>
          <w:sz w:val="27"/>
          <w:szCs w:val="27"/>
          <w:lang w:val="en-US" w:eastAsia="pl-PL"/>
        </w:rPr>
        <w:t>.</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Banks should follow several steps for </w:t>
      </w:r>
      <w:r w:rsidRPr="00D90EDB">
        <w:rPr>
          <w:rFonts w:ascii="Helvetica" w:eastAsia="Times New Roman" w:hAnsi="Helvetica" w:cs="Helvetica"/>
          <w:b/>
          <w:i/>
          <w:color w:val="0A1B32"/>
          <w:sz w:val="27"/>
          <w:szCs w:val="27"/>
          <w:lang w:val="en-US" w:eastAsia="pl-PL"/>
        </w:rPr>
        <w:t xml:space="preserve">estimating the capital charges based on </w:t>
      </w:r>
      <w:proofErr w:type="spellStart"/>
      <w:r w:rsidRPr="00D90EDB">
        <w:rPr>
          <w:rFonts w:ascii="Helvetica" w:eastAsia="Times New Roman" w:hAnsi="Helvetica" w:cs="Helvetica"/>
          <w:b/>
          <w:i/>
          <w:color w:val="0A1B32"/>
          <w:sz w:val="27"/>
          <w:szCs w:val="27"/>
          <w:lang w:val="en-US" w:eastAsia="pl-PL"/>
        </w:rPr>
        <w:t>SbM</w:t>
      </w:r>
      <w:proofErr w:type="spellEnd"/>
      <w:r w:rsidRPr="00D90EDB">
        <w:rPr>
          <w:rFonts w:ascii="Helvetica" w:eastAsia="Times New Roman" w:hAnsi="Helvetica" w:cs="Helvetica"/>
          <w:b/>
          <w:i/>
          <w:color w:val="0A1B32"/>
          <w:sz w:val="27"/>
          <w:szCs w:val="27"/>
          <w:lang w:val="en-US" w:eastAsia="pl-PL"/>
        </w:rPr>
        <w:t xml:space="preserve">. </w:t>
      </w:r>
      <w:r w:rsidRPr="00D05D57">
        <w:rPr>
          <w:rFonts w:ascii="Helvetica" w:eastAsia="Times New Roman" w:hAnsi="Helvetica" w:cs="Helvetica"/>
          <w:i/>
          <w:color w:val="0A1B32"/>
          <w:sz w:val="27"/>
          <w:szCs w:val="27"/>
          <w:lang w:val="en-US" w:eastAsia="pl-PL"/>
        </w:rPr>
        <w:t>These steps include:</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1.</w:t>
      </w:r>
      <w:r w:rsidRPr="00D05D57">
        <w:rPr>
          <w:rFonts w:ascii="Helvetica" w:eastAsia="Times New Roman" w:hAnsi="Helvetica" w:cs="Helvetica"/>
          <w:i/>
          <w:color w:val="0A1B32"/>
          <w:sz w:val="27"/>
          <w:szCs w:val="27"/>
          <w:lang w:val="en-US" w:eastAsia="pl-PL"/>
        </w:rPr>
        <w:tab/>
        <w:t>The assignment of the portfolio to risk classes;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2.</w:t>
      </w:r>
      <w:r w:rsidRPr="00D05D57">
        <w:rPr>
          <w:rFonts w:ascii="Helvetica" w:eastAsia="Times New Roman" w:hAnsi="Helvetica" w:cs="Helvetica"/>
          <w:i/>
          <w:color w:val="0A1B32"/>
          <w:sz w:val="27"/>
          <w:szCs w:val="27"/>
          <w:lang w:val="en-US" w:eastAsia="pl-PL"/>
        </w:rPr>
        <w:tab/>
        <w:t>The identification of buckets;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3.</w:t>
      </w:r>
      <w:r w:rsidRPr="00D05D57">
        <w:rPr>
          <w:rFonts w:ascii="Helvetica" w:eastAsia="Times New Roman" w:hAnsi="Helvetica" w:cs="Helvetica"/>
          <w:i/>
          <w:color w:val="0A1B32"/>
          <w:sz w:val="27"/>
          <w:szCs w:val="27"/>
          <w:lang w:val="en-US" w:eastAsia="pl-PL"/>
        </w:rPr>
        <w:tab/>
        <w:t>The estimation of net sensitivities for each risk class;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4.</w:t>
      </w:r>
      <w:r w:rsidRPr="00D05D57">
        <w:rPr>
          <w:rFonts w:ascii="Helvetica" w:eastAsia="Times New Roman" w:hAnsi="Helvetica" w:cs="Helvetica"/>
          <w:i/>
          <w:color w:val="0A1B32"/>
          <w:sz w:val="27"/>
          <w:szCs w:val="27"/>
          <w:lang w:val="en-US" w:eastAsia="pl-PL"/>
        </w:rPr>
        <w:tab/>
        <w:t>The calculation of weighted net sensitivities for each risk factor;</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5.</w:t>
      </w:r>
      <w:r w:rsidRPr="00D05D57">
        <w:rPr>
          <w:rFonts w:ascii="Helvetica" w:eastAsia="Times New Roman" w:hAnsi="Helvetica" w:cs="Helvetica"/>
          <w:i/>
          <w:color w:val="0A1B32"/>
          <w:sz w:val="27"/>
          <w:szCs w:val="27"/>
          <w:lang w:val="en-US" w:eastAsia="pl-PL"/>
        </w:rPr>
        <w:tab/>
        <w:t>The computation of sensitivities for risk positions within each bucket,</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6.</w:t>
      </w:r>
      <w:r w:rsidRPr="00D05D57">
        <w:rPr>
          <w:rFonts w:ascii="Helvetica" w:eastAsia="Times New Roman" w:hAnsi="Helvetica" w:cs="Helvetica"/>
          <w:i/>
          <w:color w:val="0A1B32"/>
          <w:sz w:val="27"/>
          <w:szCs w:val="27"/>
          <w:lang w:val="en-US" w:eastAsia="pl-PL"/>
        </w:rPr>
        <w:tab/>
        <w:t>the estimation of capital charge across buckets;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7.</w:t>
      </w:r>
      <w:r w:rsidRPr="00D05D57">
        <w:rPr>
          <w:rFonts w:ascii="Helvetica" w:eastAsia="Times New Roman" w:hAnsi="Helvetica" w:cs="Helvetica"/>
          <w:i/>
          <w:color w:val="0A1B32"/>
          <w:sz w:val="27"/>
          <w:szCs w:val="27"/>
          <w:lang w:val="en-US" w:eastAsia="pl-PL"/>
        </w:rPr>
        <w:tab/>
        <w:t>The aggregation of the sensitivity risk charge based on correlation scenarios (see Figure 2).</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w:t>
      </w:r>
    </w:p>
    <w:p w:rsidR="00661212" w:rsidRDefault="00661212" w:rsidP="00D05D57">
      <w:pPr>
        <w:spacing w:after="100" w:afterAutospacing="1" w:line="240" w:lineRule="auto"/>
        <w:jc w:val="both"/>
        <w:rPr>
          <w:rFonts w:ascii="Helvetica" w:eastAsia="Times New Roman" w:hAnsi="Helvetica" w:cs="Helvetica"/>
          <w:i/>
          <w:color w:val="0A1B32"/>
          <w:sz w:val="27"/>
          <w:szCs w:val="27"/>
          <w:lang w:val="en-US" w:eastAsia="pl-PL"/>
        </w:rPr>
      </w:pPr>
      <w:r>
        <w:rPr>
          <w:rFonts w:ascii="Arial" w:hAnsi="Arial" w:cs="Arial"/>
          <w:noProof/>
          <w:color w:val="232323"/>
        </w:rPr>
        <w:lastRenderedPageBreak/>
        <w:drawing>
          <wp:inline distT="0" distB="0" distL="0" distR="0" wp14:anchorId="47A2D72E" wp14:editId="4D25E071">
            <wp:extent cx="5715000" cy="3219450"/>
            <wp:effectExtent l="0" t="0" r="0" b="0"/>
            <wp:docPr id="50" name="Picture 50" descr="FRTB Commentary 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TB Commentary Fig.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Figure 2: Main steps for estimating capital charge based on the sensitivities-based method</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1F0CAA">
        <w:rPr>
          <w:rFonts w:ascii="Helvetica" w:eastAsia="Times New Roman" w:hAnsi="Helvetica" w:cs="Helvetica"/>
          <w:b/>
          <w:i/>
          <w:color w:val="0A1B32"/>
          <w:sz w:val="27"/>
          <w:szCs w:val="27"/>
          <w:lang w:val="en-US" w:eastAsia="pl-PL"/>
        </w:rPr>
        <w:t xml:space="preserve">Delta and </w:t>
      </w:r>
      <w:proofErr w:type="spellStart"/>
      <w:r w:rsidRPr="001F0CAA">
        <w:rPr>
          <w:rFonts w:ascii="Helvetica" w:eastAsia="Times New Roman" w:hAnsi="Helvetica" w:cs="Helvetica"/>
          <w:b/>
          <w:i/>
          <w:color w:val="0A1B32"/>
          <w:sz w:val="27"/>
          <w:szCs w:val="27"/>
          <w:lang w:val="en-US" w:eastAsia="pl-PL"/>
        </w:rPr>
        <w:t>vega</w:t>
      </w:r>
      <w:proofErr w:type="spellEnd"/>
      <w:r w:rsidRPr="001F0CAA">
        <w:rPr>
          <w:rFonts w:ascii="Helvetica" w:eastAsia="Times New Roman" w:hAnsi="Helvetica" w:cs="Helvetica"/>
          <w:b/>
          <w:i/>
          <w:color w:val="0A1B32"/>
          <w:sz w:val="27"/>
          <w:szCs w:val="27"/>
          <w:lang w:val="en-US" w:eastAsia="pl-PL"/>
        </w:rPr>
        <w:t xml:space="preserve"> risk charges</w:t>
      </w:r>
      <w:r w:rsidRPr="00D05D57">
        <w:rPr>
          <w:rFonts w:ascii="Helvetica" w:eastAsia="Times New Roman" w:hAnsi="Helvetica" w:cs="Helvetica"/>
          <w:i/>
          <w:color w:val="0A1B32"/>
          <w:sz w:val="27"/>
          <w:szCs w:val="27"/>
          <w:lang w:val="en-US" w:eastAsia="pl-PL"/>
        </w:rPr>
        <w:t xml:space="preserve"> are computed individually for </w:t>
      </w:r>
      <w:r w:rsidRPr="001F0CAA">
        <w:rPr>
          <w:rFonts w:ascii="Helvetica" w:eastAsia="Times New Roman" w:hAnsi="Helvetica" w:cs="Helvetica"/>
          <w:b/>
          <w:i/>
          <w:color w:val="0A1B32"/>
          <w:sz w:val="27"/>
          <w:szCs w:val="27"/>
          <w:lang w:val="en-US" w:eastAsia="pl-PL"/>
        </w:rPr>
        <w:t>seven risk classes, the capital charges within each bucket are aggregated and finally the capital requirements across those buckets is calculated.</w:t>
      </w:r>
      <w:r w:rsidRPr="00D05D57">
        <w:rPr>
          <w:rFonts w:ascii="Helvetica" w:eastAsia="Times New Roman" w:hAnsi="Helvetica" w:cs="Helvetica"/>
          <w:i/>
          <w:color w:val="0A1B32"/>
          <w:sz w:val="27"/>
          <w:szCs w:val="27"/>
          <w:lang w:val="en-US" w:eastAsia="pl-PL"/>
        </w:rPr>
        <w:t xml:space="preserve"> The weighted delta and </w:t>
      </w:r>
      <w:proofErr w:type="spellStart"/>
      <w:r w:rsidRPr="00D05D57">
        <w:rPr>
          <w:rFonts w:ascii="Helvetica" w:eastAsia="Times New Roman" w:hAnsi="Helvetica" w:cs="Helvetica"/>
          <w:i/>
          <w:color w:val="0A1B32"/>
          <w:sz w:val="27"/>
          <w:szCs w:val="27"/>
          <w:lang w:val="en-US" w:eastAsia="pl-PL"/>
        </w:rPr>
        <w:t>vega</w:t>
      </w:r>
      <w:proofErr w:type="spellEnd"/>
      <w:r w:rsidRPr="00D05D57">
        <w:rPr>
          <w:rFonts w:ascii="Helvetica" w:eastAsia="Times New Roman" w:hAnsi="Helvetica" w:cs="Helvetica"/>
          <w:i/>
          <w:color w:val="0A1B32"/>
          <w:sz w:val="27"/>
          <w:szCs w:val="27"/>
          <w:lang w:val="en-US" w:eastAsia="pl-PL"/>
        </w:rPr>
        <w:t xml:space="preserve"> sensitivities drive the </w:t>
      </w:r>
      <w:r w:rsidRPr="001F0CAA">
        <w:rPr>
          <w:rFonts w:ascii="Helvetica" w:eastAsia="Times New Roman" w:hAnsi="Helvetica" w:cs="Helvetica"/>
          <w:b/>
          <w:i/>
          <w:color w:val="0A1B32"/>
          <w:sz w:val="27"/>
          <w:szCs w:val="27"/>
          <w:lang w:val="en-US" w:eastAsia="pl-PL"/>
        </w:rPr>
        <w:t>capital on risk factors (RFs)</w:t>
      </w:r>
      <w:r w:rsidRPr="00D05D57">
        <w:rPr>
          <w:rFonts w:ascii="Helvetica" w:eastAsia="Times New Roman" w:hAnsi="Helvetica" w:cs="Helvetica"/>
          <w:i/>
          <w:color w:val="0A1B32"/>
          <w:sz w:val="27"/>
          <w:szCs w:val="27"/>
          <w:lang w:val="en-US" w:eastAsia="pl-PL"/>
        </w:rPr>
        <w:t xml:space="preserve"> and the correlation factors with and across buckets.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Banks also need to capture </w:t>
      </w:r>
      <w:r w:rsidRPr="001F0CAA">
        <w:rPr>
          <w:rFonts w:ascii="Helvetica" w:eastAsia="Times New Roman" w:hAnsi="Helvetica" w:cs="Helvetica"/>
          <w:b/>
          <w:i/>
          <w:color w:val="0A1B32"/>
          <w:sz w:val="27"/>
          <w:szCs w:val="27"/>
          <w:lang w:val="en-US" w:eastAsia="pl-PL"/>
        </w:rPr>
        <w:t>risks assigned to non-linear instruments</w:t>
      </w:r>
      <w:r w:rsidRPr="00D05D57">
        <w:rPr>
          <w:rFonts w:ascii="Helvetica" w:eastAsia="Times New Roman" w:hAnsi="Helvetica" w:cs="Helvetica"/>
          <w:i/>
          <w:color w:val="0A1B32"/>
          <w:sz w:val="27"/>
          <w:szCs w:val="27"/>
          <w:lang w:val="en-US" w:eastAsia="pl-PL"/>
        </w:rPr>
        <w:t xml:space="preserve"> which means they must estimate</w:t>
      </w:r>
      <w:r w:rsidRPr="001F0CAA">
        <w:rPr>
          <w:rFonts w:ascii="Helvetica" w:eastAsia="Times New Roman" w:hAnsi="Helvetica" w:cs="Helvetica"/>
          <w:b/>
          <w:i/>
          <w:color w:val="0A1B32"/>
          <w:sz w:val="27"/>
          <w:szCs w:val="27"/>
          <w:lang w:val="en-US" w:eastAsia="pl-PL"/>
        </w:rPr>
        <w:t xml:space="preserve"> curvature risk dealing with the second-order sensitivity measurements</w:t>
      </w:r>
      <w:r w:rsidRPr="00D05D57">
        <w:rPr>
          <w:rFonts w:ascii="Helvetica" w:eastAsia="Times New Roman" w:hAnsi="Helvetica" w:cs="Helvetica"/>
          <w:i/>
          <w:color w:val="0A1B32"/>
          <w:sz w:val="27"/>
          <w:szCs w:val="27"/>
          <w:lang w:val="en-US" w:eastAsia="pl-PL"/>
        </w:rPr>
        <w:t xml:space="preserve">. Thus, any changes in the price of an option </w:t>
      </w:r>
      <w:r w:rsidRPr="001F0CAA">
        <w:rPr>
          <w:rFonts w:ascii="Helvetica" w:eastAsia="Times New Roman" w:hAnsi="Helvetica" w:cs="Helvetica"/>
          <w:b/>
          <w:i/>
          <w:color w:val="0A1B32"/>
          <w:sz w:val="27"/>
          <w:szCs w:val="27"/>
          <w:lang w:val="en-US" w:eastAsia="pl-PL"/>
        </w:rPr>
        <w:t xml:space="preserve">not identified by delta and </w:t>
      </w:r>
      <w:proofErr w:type="spellStart"/>
      <w:r w:rsidRPr="001F0CAA">
        <w:rPr>
          <w:rFonts w:ascii="Helvetica" w:eastAsia="Times New Roman" w:hAnsi="Helvetica" w:cs="Helvetica"/>
          <w:b/>
          <w:i/>
          <w:color w:val="0A1B32"/>
          <w:sz w:val="27"/>
          <w:szCs w:val="27"/>
          <w:lang w:val="en-US" w:eastAsia="pl-PL"/>
        </w:rPr>
        <w:t>vega</w:t>
      </w:r>
      <w:proofErr w:type="spellEnd"/>
      <w:r w:rsidRPr="001F0CAA">
        <w:rPr>
          <w:rFonts w:ascii="Helvetica" w:eastAsia="Times New Roman" w:hAnsi="Helvetica" w:cs="Helvetica"/>
          <w:b/>
          <w:i/>
          <w:color w:val="0A1B32"/>
          <w:sz w:val="27"/>
          <w:szCs w:val="27"/>
          <w:lang w:val="en-US" w:eastAsia="pl-PL"/>
        </w:rPr>
        <w:t xml:space="preserve"> risk is addressed by curvature risk</w:t>
      </w:r>
      <w:r w:rsidRPr="00D05D57">
        <w:rPr>
          <w:rFonts w:ascii="Helvetica" w:eastAsia="Times New Roman" w:hAnsi="Helvetica" w:cs="Helvetica"/>
          <w:i/>
          <w:color w:val="0A1B32"/>
          <w:sz w:val="27"/>
          <w:szCs w:val="27"/>
          <w:lang w:val="en-US" w:eastAsia="pl-PL"/>
        </w:rPr>
        <w:t xml:space="preserve">. The final Basel III framework approximates the curvature as an </w:t>
      </w:r>
      <w:r w:rsidRPr="001F0CAA">
        <w:rPr>
          <w:rFonts w:ascii="Helvetica" w:eastAsia="Times New Roman" w:hAnsi="Helvetica" w:cs="Helvetica"/>
          <w:b/>
          <w:i/>
          <w:color w:val="0A1B32"/>
          <w:sz w:val="27"/>
          <w:szCs w:val="27"/>
          <w:lang w:val="en-US" w:eastAsia="pl-PL"/>
        </w:rPr>
        <w:t>incremental capital charge above delta capital charge</w:t>
      </w:r>
      <w:r w:rsidRPr="00D05D57">
        <w:rPr>
          <w:rFonts w:ascii="Helvetica" w:eastAsia="Times New Roman" w:hAnsi="Helvetica" w:cs="Helvetica"/>
          <w:i/>
          <w:color w:val="0A1B32"/>
          <w:sz w:val="27"/>
          <w:szCs w:val="27"/>
          <w:lang w:val="en-US" w:eastAsia="pl-PL"/>
        </w:rPr>
        <w:t>.</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After estimating the curvature risk charge, banks have to apply the </w:t>
      </w:r>
      <w:r w:rsidRPr="001F0CAA">
        <w:rPr>
          <w:rFonts w:ascii="Helvetica" w:eastAsia="Times New Roman" w:hAnsi="Helvetica" w:cs="Helvetica"/>
          <w:b/>
          <w:i/>
          <w:color w:val="0A1B32"/>
          <w:sz w:val="27"/>
          <w:szCs w:val="27"/>
          <w:lang w:val="en-US" w:eastAsia="pl-PL"/>
        </w:rPr>
        <w:t xml:space="preserve">sensitivity risk charge aggregation based on three scenarios on the correlations between risk factors within a bucket and cross-bucket correlations within a risk class. </w:t>
      </w:r>
      <w:r w:rsidRPr="00D05D57">
        <w:rPr>
          <w:rFonts w:ascii="Helvetica" w:eastAsia="Times New Roman" w:hAnsi="Helvetica" w:cs="Helvetica"/>
          <w:i/>
          <w:color w:val="0A1B32"/>
          <w:sz w:val="27"/>
          <w:szCs w:val="27"/>
          <w:lang w:val="en-US" w:eastAsia="pl-PL"/>
        </w:rPr>
        <w:t>In fact, the bank has to stress the correlation factors based on three scenarios: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1.</w:t>
      </w:r>
      <w:r w:rsidRPr="00D05D57">
        <w:rPr>
          <w:rFonts w:ascii="Helvetica" w:eastAsia="Times New Roman" w:hAnsi="Helvetica" w:cs="Helvetica"/>
          <w:i/>
          <w:color w:val="0A1B32"/>
          <w:sz w:val="27"/>
          <w:szCs w:val="27"/>
          <w:lang w:val="en-US" w:eastAsia="pl-PL"/>
        </w:rPr>
        <w:tab/>
        <w:t>A shock of increasing the level of correlations by 25%;</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2.</w:t>
      </w:r>
      <w:r w:rsidRPr="00D05D57">
        <w:rPr>
          <w:rFonts w:ascii="Helvetica" w:eastAsia="Times New Roman" w:hAnsi="Helvetica" w:cs="Helvetica"/>
          <w:i/>
          <w:color w:val="0A1B32"/>
          <w:sz w:val="27"/>
          <w:szCs w:val="27"/>
          <w:lang w:val="en-US" w:eastAsia="pl-PL"/>
        </w:rPr>
        <w:tab/>
        <w:t>No shock, i.e. unchanged correlation;</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3.</w:t>
      </w:r>
      <w:r w:rsidRPr="00D05D57">
        <w:rPr>
          <w:rFonts w:ascii="Helvetica" w:eastAsia="Times New Roman" w:hAnsi="Helvetica" w:cs="Helvetica"/>
          <w:i/>
          <w:color w:val="0A1B32"/>
          <w:sz w:val="27"/>
          <w:szCs w:val="27"/>
          <w:lang w:val="en-US" w:eastAsia="pl-PL"/>
        </w:rPr>
        <w:tab/>
        <w:t>A shock of reducing the level of correlations based on a formula proposed by the framework as proposed in the latest amendments (BCBS, 20184, Annex A: 15 paras 54c).</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Banks have to implement the above three scenarios individually for each risk class to calculate the risk charges accordingly. A portfolio exposed to risk classes must aggregate the associated risk charges and the three scenario-based risk charges resulting in three values of the aggregated portfolio. The highest of the three aggregated values is the recognized capital charge at portfolio level (Figure 3).</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w:t>
      </w:r>
      <w:r w:rsidR="008468AF">
        <w:rPr>
          <w:rFonts w:ascii="Arial" w:hAnsi="Arial" w:cs="Arial"/>
          <w:noProof/>
          <w:color w:val="232323"/>
        </w:rPr>
        <w:drawing>
          <wp:inline distT="0" distB="0" distL="0" distR="0" wp14:anchorId="314FADE6" wp14:editId="58CF2380">
            <wp:extent cx="5715000" cy="1885950"/>
            <wp:effectExtent l="0" t="0" r="0" b="0"/>
            <wp:docPr id="51" name="Picture 51" descr="FRTB Commentary 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TB Commentary Fig.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885950"/>
                    </a:xfrm>
                    <a:prstGeom prst="rect">
                      <a:avLst/>
                    </a:prstGeom>
                    <a:noFill/>
                    <a:ln>
                      <a:noFill/>
                    </a:ln>
                  </pic:spPr>
                </pic:pic>
              </a:graphicData>
            </a:graphic>
          </wp:inline>
        </w:drawing>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Figure 3: The three steps for estimating of the sensitivity risk charge at the portfolio level</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Grounded by evidential eligibility criteria, a simplified reduced </w:t>
      </w:r>
      <w:proofErr w:type="spellStart"/>
      <w:r w:rsidRPr="00D05D57">
        <w:rPr>
          <w:rFonts w:ascii="Helvetica" w:eastAsia="Times New Roman" w:hAnsi="Helvetica" w:cs="Helvetica"/>
          <w:i/>
          <w:color w:val="0A1B32"/>
          <w:sz w:val="27"/>
          <w:szCs w:val="27"/>
          <w:lang w:val="en-US" w:eastAsia="pl-PL"/>
        </w:rPr>
        <w:t>SbA</w:t>
      </w:r>
      <w:proofErr w:type="spellEnd"/>
      <w:r w:rsidRPr="00D05D57">
        <w:rPr>
          <w:rFonts w:ascii="Helvetica" w:eastAsia="Times New Roman" w:hAnsi="Helvetica" w:cs="Helvetica"/>
          <w:i/>
          <w:color w:val="0A1B32"/>
          <w:sz w:val="27"/>
          <w:szCs w:val="27"/>
          <w:lang w:val="en-US" w:eastAsia="pl-PL"/>
        </w:rPr>
        <w:t xml:space="preserve"> may be an alternative option for banks. The absence of </w:t>
      </w:r>
      <w:proofErr w:type="spellStart"/>
      <w:r w:rsidRPr="00D05D57">
        <w:rPr>
          <w:rFonts w:ascii="Helvetica" w:eastAsia="Times New Roman" w:hAnsi="Helvetica" w:cs="Helvetica"/>
          <w:i/>
          <w:color w:val="0A1B32"/>
          <w:sz w:val="27"/>
          <w:szCs w:val="27"/>
          <w:lang w:val="en-US" w:eastAsia="pl-PL"/>
        </w:rPr>
        <w:t>vega</w:t>
      </w:r>
      <w:proofErr w:type="spellEnd"/>
      <w:r w:rsidRPr="00D05D57">
        <w:rPr>
          <w:rFonts w:ascii="Helvetica" w:eastAsia="Times New Roman" w:hAnsi="Helvetica" w:cs="Helvetica"/>
          <w:i/>
          <w:color w:val="0A1B32"/>
          <w:sz w:val="27"/>
          <w:szCs w:val="27"/>
          <w:lang w:val="en-US" w:eastAsia="pl-PL"/>
        </w:rPr>
        <w:t xml:space="preserve"> estimation and curvature risks, and the reduction of RFs and correlation scenarios under consideration are both benefits of the less demanding framework, however, the upsurge of risk weights under this method means the capital charge rises significantly.</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In the latest proposed amendments, further to alternative reduced </w:t>
      </w:r>
      <w:proofErr w:type="spellStart"/>
      <w:r w:rsidRPr="00D05D57">
        <w:rPr>
          <w:rFonts w:ascii="Helvetica" w:eastAsia="Times New Roman" w:hAnsi="Helvetica" w:cs="Helvetica"/>
          <w:i/>
          <w:color w:val="0A1B32"/>
          <w:sz w:val="27"/>
          <w:szCs w:val="27"/>
          <w:lang w:val="en-US" w:eastAsia="pl-PL"/>
        </w:rPr>
        <w:t>SbA</w:t>
      </w:r>
      <w:proofErr w:type="spellEnd"/>
      <w:r w:rsidRPr="00D05D57">
        <w:rPr>
          <w:rFonts w:ascii="Helvetica" w:eastAsia="Times New Roman" w:hAnsi="Helvetica" w:cs="Helvetica"/>
          <w:i/>
          <w:color w:val="0A1B32"/>
          <w:sz w:val="27"/>
          <w:szCs w:val="27"/>
          <w:lang w:val="en-US" w:eastAsia="pl-PL"/>
        </w:rPr>
        <w:t xml:space="preserve">, the committee recommends a second alternative option whereby a recalibrated version of the Basel II standardized approach can be used (BCBS, 2018). It includes four multiplication scaling factors applied respectively to the capital requirements, estimated by the SA, in the four risk classes: </w:t>
      </w:r>
      <w:r w:rsidRPr="00C206BC">
        <w:rPr>
          <w:rFonts w:ascii="Helvetica" w:eastAsia="Times New Roman" w:hAnsi="Helvetica" w:cs="Helvetica"/>
          <w:b/>
          <w:i/>
          <w:color w:val="0A1B32"/>
          <w:sz w:val="27"/>
          <w:szCs w:val="27"/>
          <w:lang w:val="en-US" w:eastAsia="pl-PL"/>
        </w:rPr>
        <w:t>FX risk, commodity risk, general and specific interest rate risk, general and specific equity risk.</w:t>
      </w:r>
      <w:r w:rsidRPr="00D05D57">
        <w:rPr>
          <w:rFonts w:ascii="Helvetica" w:eastAsia="Times New Roman" w:hAnsi="Helvetica" w:cs="Helvetica"/>
          <w:i/>
          <w:color w:val="0A1B32"/>
          <w:sz w:val="27"/>
          <w:szCs w:val="27"/>
          <w:lang w:val="en-US" w:eastAsia="pl-PL"/>
        </w:rPr>
        <w:t xml:space="preserve"> The over capital requirement results in summing up the recalibrated capital estimations (BCBS, 20184, Annex F: 39 paras 3).</w:t>
      </w:r>
    </w:p>
    <w:p w:rsidR="00D05D57" w:rsidRPr="008468AF"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8468AF">
        <w:rPr>
          <w:rFonts w:ascii="Helvetica" w:eastAsia="Times New Roman" w:hAnsi="Helvetica" w:cs="Helvetica"/>
          <w:b/>
          <w:i/>
          <w:color w:val="0A1B32"/>
          <w:sz w:val="27"/>
          <w:szCs w:val="27"/>
          <w:lang w:val="en-US" w:eastAsia="pl-PL"/>
        </w:rPr>
        <w:t>Example of the Estimation of Delta Capital Charge</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Let us examine a case of a banking institution based in the Euro-zone area that holds a portfolio consisting of three assets: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w:t>
      </w:r>
      <w:r w:rsidRPr="00D05D57">
        <w:rPr>
          <w:rFonts w:ascii="Helvetica" w:eastAsia="Times New Roman" w:hAnsi="Helvetica" w:cs="Helvetica"/>
          <w:i/>
          <w:color w:val="0A1B32"/>
          <w:sz w:val="27"/>
          <w:szCs w:val="27"/>
          <w:lang w:val="en-US" w:eastAsia="pl-PL"/>
        </w:rPr>
        <w:tab/>
        <w:t>A five-year maturity corporate bond with a modified duration of 4.5, denominated in GBP;</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w:t>
      </w:r>
      <w:r w:rsidRPr="00D05D57">
        <w:rPr>
          <w:rFonts w:ascii="Helvetica" w:eastAsia="Times New Roman" w:hAnsi="Helvetica" w:cs="Helvetica"/>
          <w:i/>
          <w:color w:val="0A1B32"/>
          <w:sz w:val="27"/>
          <w:szCs w:val="27"/>
          <w:lang w:val="en-US" w:eastAsia="pl-PL"/>
        </w:rPr>
        <w:tab/>
        <w:t>A two-year maturity government bond with a modified duration of 2.8, denominated in GBP; and,</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w:t>
      </w:r>
      <w:r w:rsidRPr="00D05D57">
        <w:rPr>
          <w:rFonts w:ascii="Helvetica" w:eastAsia="Times New Roman" w:hAnsi="Helvetica" w:cs="Helvetica"/>
          <w:i/>
          <w:color w:val="0A1B32"/>
          <w:sz w:val="27"/>
          <w:szCs w:val="27"/>
          <w:lang w:val="en-US" w:eastAsia="pl-PL"/>
        </w:rPr>
        <w:tab/>
        <w:t>A seven-year maturity corporate bond with a modified duration of 6.7, denominated in EUR.</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By employing </w:t>
      </w:r>
      <w:proofErr w:type="spellStart"/>
      <w:r w:rsidRPr="00D05D57">
        <w:rPr>
          <w:rFonts w:ascii="Helvetica" w:eastAsia="Times New Roman" w:hAnsi="Helvetica" w:cs="Helvetica"/>
          <w:i/>
          <w:color w:val="0A1B32"/>
          <w:sz w:val="27"/>
          <w:szCs w:val="27"/>
          <w:lang w:val="en-US" w:eastAsia="pl-PL"/>
        </w:rPr>
        <w:t>SbM</w:t>
      </w:r>
      <w:proofErr w:type="spellEnd"/>
      <w:r w:rsidRPr="00D05D57">
        <w:rPr>
          <w:rFonts w:ascii="Helvetica" w:eastAsia="Times New Roman" w:hAnsi="Helvetica" w:cs="Helvetica"/>
          <w:i/>
          <w:color w:val="0A1B32"/>
          <w:sz w:val="27"/>
          <w:szCs w:val="27"/>
          <w:lang w:val="en-US" w:eastAsia="pl-PL"/>
        </w:rPr>
        <w:t xml:space="preserve"> the bank estimates delta general interest rate risk (GIRR) capital charges following the steps presented below and as illustrated in Table I:</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w:t>
      </w:r>
      <w:r w:rsidR="00C206BC">
        <w:rPr>
          <w:rFonts w:ascii="Arial" w:hAnsi="Arial" w:cs="Arial"/>
          <w:noProof/>
          <w:color w:val="232323"/>
        </w:rPr>
        <w:drawing>
          <wp:inline distT="0" distB="0" distL="0" distR="0" wp14:anchorId="63E40DB1" wp14:editId="3EEE2222">
            <wp:extent cx="5715000" cy="3143250"/>
            <wp:effectExtent l="0" t="0" r="0" b="0"/>
            <wp:docPr id="52" name="Picture 52" descr="FRTB Commentary 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TB Commentary Fig.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r w:rsidRPr="00D05D57">
        <w:rPr>
          <w:rFonts w:ascii="Helvetica" w:eastAsia="Times New Roman" w:hAnsi="Helvetica" w:cs="Helvetica"/>
          <w:i/>
          <w:color w:val="0A1B32"/>
          <w:sz w:val="27"/>
          <w:szCs w:val="27"/>
          <w:lang w:val="en-US" w:eastAsia="pl-PL"/>
        </w:rPr>
        <w:t>Table I. Steps of estimating the delta (GIRP) capital charge</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1.</w:t>
      </w:r>
      <w:r w:rsidRPr="00D05D57">
        <w:rPr>
          <w:rFonts w:ascii="Helvetica" w:eastAsia="Times New Roman" w:hAnsi="Helvetica" w:cs="Helvetica"/>
          <w:i/>
          <w:color w:val="0A1B32"/>
          <w:sz w:val="27"/>
          <w:szCs w:val="27"/>
          <w:lang w:val="en-US" w:eastAsia="pl-PL"/>
        </w:rPr>
        <w:tab/>
        <w:t>All assets are interest rate sensitive. As a result, they fall under the GIRR risk class;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2.</w:t>
      </w:r>
      <w:r w:rsidRPr="00D05D57">
        <w:rPr>
          <w:rFonts w:ascii="Helvetica" w:eastAsia="Times New Roman" w:hAnsi="Helvetica" w:cs="Helvetica"/>
          <w:i/>
          <w:color w:val="0A1B32"/>
          <w:sz w:val="27"/>
          <w:szCs w:val="27"/>
          <w:lang w:val="en-US" w:eastAsia="pl-PL"/>
        </w:rPr>
        <w:tab/>
        <w:t>In the view of the bucket definition of GIRR delta the two currencies, that is, GBP and EUR, define two buckets, b1 and b2, accordingly;</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3.</w:t>
      </w:r>
      <w:r w:rsidRPr="00D05D57">
        <w:rPr>
          <w:rFonts w:ascii="Helvetica" w:eastAsia="Times New Roman" w:hAnsi="Helvetica" w:cs="Helvetica"/>
          <w:i/>
          <w:color w:val="0A1B32"/>
          <w:sz w:val="27"/>
          <w:szCs w:val="27"/>
          <w:lang w:val="en-US" w:eastAsia="pl-PL"/>
        </w:rPr>
        <w:tab/>
        <w:t xml:space="preserve">The sensitivities </w:t>
      </w:r>
      <w:proofErr w:type="spellStart"/>
      <w:r w:rsidRPr="00D05D57">
        <w:rPr>
          <w:rFonts w:ascii="Helvetica" w:eastAsia="Times New Roman" w:hAnsi="Helvetica" w:cs="Helvetica"/>
          <w:i/>
          <w:color w:val="0A1B32"/>
          <w:sz w:val="27"/>
          <w:szCs w:val="27"/>
          <w:lang w:val="en-US" w:eastAsia="pl-PL"/>
        </w:rPr>
        <w:t>Sk</w:t>
      </w:r>
      <w:proofErr w:type="spellEnd"/>
      <w:r w:rsidRPr="00D05D57">
        <w:rPr>
          <w:rFonts w:ascii="Helvetica" w:eastAsia="Times New Roman" w:hAnsi="Helvetica" w:cs="Helvetica"/>
          <w:i/>
          <w:color w:val="0A1B32"/>
          <w:sz w:val="27"/>
          <w:szCs w:val="27"/>
          <w:lang w:val="en-US" w:eastAsia="pl-PL"/>
        </w:rPr>
        <w:t xml:space="preserve">, </w:t>
      </w:r>
      <w:proofErr w:type="spellStart"/>
      <w:r w:rsidRPr="00D05D57">
        <w:rPr>
          <w:rFonts w:ascii="Helvetica" w:eastAsia="Times New Roman" w:hAnsi="Helvetica" w:cs="Helvetica"/>
          <w:i/>
          <w:color w:val="0A1B32"/>
          <w:sz w:val="27"/>
          <w:szCs w:val="27"/>
          <w:lang w:val="en-US" w:eastAsia="pl-PL"/>
        </w:rPr>
        <w:t>Sl</w:t>
      </w:r>
      <w:proofErr w:type="spellEnd"/>
      <w:r w:rsidRPr="00D05D57">
        <w:rPr>
          <w:rFonts w:ascii="Helvetica" w:eastAsia="Times New Roman" w:hAnsi="Helvetica" w:cs="Helvetica"/>
          <w:i/>
          <w:color w:val="0A1B32"/>
          <w:sz w:val="27"/>
          <w:szCs w:val="27"/>
          <w:lang w:val="en-US" w:eastAsia="pl-PL"/>
        </w:rPr>
        <w:t xml:space="preserve"> and Sm denominated to GBP and EUR are approximated to the modified duration of the instruments, defined at the degrees of 4.5, 2.8 and 6.7 respectively;</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4.</w:t>
      </w:r>
      <w:r w:rsidRPr="00D05D57">
        <w:rPr>
          <w:rFonts w:ascii="Helvetica" w:eastAsia="Times New Roman" w:hAnsi="Helvetica" w:cs="Helvetica"/>
          <w:i/>
          <w:color w:val="0A1B32"/>
          <w:sz w:val="27"/>
          <w:szCs w:val="27"/>
          <w:lang w:val="en-US" w:eastAsia="pl-PL"/>
        </w:rPr>
        <w:tab/>
        <w:t>By knowing the instruments’ maturity, the bank identifies the vertexes, as of 5, 2 and 7, set by the framework;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5.</w:t>
      </w:r>
      <w:r w:rsidRPr="00D05D57">
        <w:rPr>
          <w:rFonts w:ascii="Helvetica" w:eastAsia="Times New Roman" w:hAnsi="Helvetica" w:cs="Helvetica"/>
          <w:i/>
          <w:color w:val="0A1B32"/>
          <w:sz w:val="27"/>
          <w:szCs w:val="27"/>
          <w:lang w:val="en-US" w:eastAsia="pl-PL"/>
        </w:rPr>
        <w:tab/>
        <w:t>Corresponding to the above vertexes risk weights (RWs), distinct by the framework, are within a range of [0.90% - 1.20%], [1.10%  - 1.50%] and [0.90%  - 1.20%];</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6.</w:t>
      </w:r>
      <w:r w:rsidRPr="00D05D57">
        <w:rPr>
          <w:rFonts w:ascii="Helvetica" w:eastAsia="Times New Roman" w:hAnsi="Helvetica" w:cs="Helvetica"/>
          <w:i/>
          <w:color w:val="0A1B32"/>
          <w:sz w:val="27"/>
          <w:szCs w:val="27"/>
          <w:lang w:val="en-US" w:eastAsia="pl-PL"/>
        </w:rPr>
        <w:tab/>
        <w:t>The weighted sensitivities are estimated (BCBS, 2016[5] 25 paras 67), within a range of [0.041 - 0.054], [0.031 - 0.042] and [0.060 - 0.080], respectively;</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7.</w:t>
      </w:r>
      <w:r w:rsidRPr="00D05D57">
        <w:rPr>
          <w:rFonts w:ascii="Helvetica" w:eastAsia="Times New Roman" w:hAnsi="Helvetica" w:cs="Helvetica"/>
          <w:i/>
          <w:color w:val="0A1B32"/>
          <w:sz w:val="27"/>
          <w:szCs w:val="27"/>
          <w:lang w:val="en-US" w:eastAsia="pl-PL"/>
        </w:rPr>
        <w:tab/>
        <w:t>At the level of each bucket:</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For assets one and two, the correlations between the two weighted sensitivities set to the range of [0.941 - 0.941] as derived from the rules defined by the framework (note that as b2 contains only one asset, a correlation factor is out of consideration);</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For all assets, the risk positions are calculated resulting of a range within [0.070 - 0.095] for b1, and [0.004 - 0.006] for b2;</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8. The sensitivities for all risk factors for b1 are estimated within a range of [0.0713 - 0.096] for assets one and two, whereas asset three belongs to bucket b2 calculated within a range of [0.0603 - 0.0804].</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9. The level of correlation across those buckets is defined by the framework and set to a degree of 0.5;</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10. The delta capital charge estimated to the range of values between 0.096 and 0.129.</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Layout of a process for implementing Basel III minimum capital requirements for market risk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In conclusion, initially banks must apply the necessary analytics for estimating the market risk sensitivities, classify the risk exposures and the assets under study to identify the associated risk weights, calculate the risk capital charge based on the formulas provided by the framework, apply aggregation rules within and across buckets, report associated capital against risk and losses. The cycle process of implementing Basel III minimum capital requirements for market risk based on the standardized approach is illustrated in Figure 4.</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 xml:space="preserve"> </w:t>
      </w:r>
      <w:r w:rsidR="00C206BC">
        <w:rPr>
          <w:rFonts w:ascii="Arial" w:hAnsi="Arial" w:cs="Arial"/>
          <w:noProof/>
          <w:color w:val="232323"/>
        </w:rPr>
        <w:drawing>
          <wp:inline distT="0" distB="0" distL="0" distR="0" wp14:anchorId="08E971A4" wp14:editId="7EB9455D">
            <wp:extent cx="5715000" cy="3600450"/>
            <wp:effectExtent l="0" t="0" r="0" b="0"/>
            <wp:docPr id="79" name="Picture 79" descr="FRTB Commentary 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TB Commentary Fig.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600450"/>
                    </a:xfrm>
                    <a:prstGeom prst="rect">
                      <a:avLst/>
                    </a:prstGeom>
                    <a:noFill/>
                    <a:ln>
                      <a:noFill/>
                    </a:ln>
                  </pic:spPr>
                </pic:pic>
              </a:graphicData>
            </a:graphic>
          </wp:inline>
        </w:drawing>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Figure 4: Process steps of implementing Basel III minimum capital requirements for Marke</w:t>
      </w:r>
      <w:r w:rsidR="00A636EE">
        <w:rPr>
          <w:rFonts w:ascii="Helvetica" w:eastAsia="Times New Roman" w:hAnsi="Helvetica" w:cs="Helvetica"/>
          <w:i/>
          <w:color w:val="0A1B32"/>
          <w:sz w:val="27"/>
          <w:szCs w:val="27"/>
          <w:lang w:val="en-US" w:eastAsia="pl-PL"/>
        </w:rPr>
        <w:t>t Risk</w:t>
      </w:r>
    </w:p>
    <w:p w:rsidR="00D05D57" w:rsidRPr="0099489A"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99489A">
        <w:rPr>
          <w:rFonts w:ascii="Helvetica" w:eastAsia="Times New Roman" w:hAnsi="Helvetica" w:cs="Helvetica"/>
          <w:b/>
          <w:i/>
          <w:color w:val="0A1B32"/>
          <w:sz w:val="27"/>
          <w:szCs w:val="27"/>
          <w:lang w:val="en-US" w:eastAsia="pl-PL"/>
        </w:rPr>
        <w:t>45. What the implications of Basel IIIs new trading book rules for market risk professionals?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In the wake of the Lehman Brothers collapse of 2008 and the ensuing financial crisis, the BCBS decided to update and strengthen the Accords. The BCBS considered poor governance and risk management, inappropriate incentive structures, and an overleveraged banking industry as reasons for the collapse. In November 2010, an agreement was reached regarding the overall design of the capital and liquidity reform package. This agreement is now known as Basel III.</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Basel III is a continuation of the three pillars along with additional requirements and safeguards. For example, Basel III requires banks to have </w:t>
      </w:r>
      <w:r w:rsidRPr="007A44DB">
        <w:rPr>
          <w:rFonts w:ascii="Helvetica" w:eastAsia="Times New Roman" w:hAnsi="Helvetica" w:cs="Helvetica"/>
          <w:b/>
          <w:i/>
          <w:color w:val="0A1B32"/>
          <w:sz w:val="27"/>
          <w:szCs w:val="27"/>
          <w:lang w:val="en-US" w:eastAsia="pl-PL"/>
        </w:rPr>
        <w:t>a minimum amount of common equity and a minimum liquidity ratio</w:t>
      </w:r>
      <w:r w:rsidRPr="00D05D57">
        <w:rPr>
          <w:rFonts w:ascii="Helvetica" w:eastAsia="Times New Roman" w:hAnsi="Helvetica" w:cs="Helvetica"/>
          <w:i/>
          <w:color w:val="0A1B32"/>
          <w:sz w:val="27"/>
          <w:szCs w:val="27"/>
          <w:lang w:val="en-US" w:eastAsia="pl-PL"/>
        </w:rPr>
        <w:t>. Basel III also includes additional requirements for what the Accord calls "systemically important banks," or those financial institutions that are considered "too big to fail." In doing so, it got rid of tier 3 capital considerations.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Basel III reforms have now been integrated into the consolidated Basel Framework, which comprises all of the current and forthcoming standards of the Basel Committee on Banking Supervision. Basel III tier 1 has now been </w:t>
      </w:r>
      <w:r w:rsidRPr="00D05D57">
        <w:rPr>
          <w:rFonts w:ascii="Helvetica" w:eastAsia="Times New Roman" w:hAnsi="Helvetica" w:cs="Helvetica"/>
          <w:i/>
          <w:color w:val="0A1B32"/>
          <w:sz w:val="27"/>
          <w:szCs w:val="27"/>
          <w:lang w:val="en-US" w:eastAsia="pl-PL"/>
        </w:rPr>
        <w:lastRenderedPageBreak/>
        <w:t>implemented and all but one of the 27 Committee member countries participated in the Basel III monitoring exercise held in June 2021. The final Basel III framework includes phase-in provisions for the output floor, which will start at 50% on Jan. 1, 2023, rising in annual steps of 5% and be fully phased-in at the 72.5% level from January 2028. These 2023 onward measures have been referred to as Basel 3.1 or Basel IV.</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Basel III is an extension of the existing Basel II Framework, and introduces new capital and liquidity standards to strengthen the regulation, supervision, and risk management of the whole of the banking and finance sector.</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It was agreed upon by the members of the Basel Committee on Banking Supervision in 2010–2011, and was scheduled to be introduced from 2013 until 2015. However, changes made from April 2013 extended implementation until March 31, 2018. The Basel III requirements were in response to the deficiencies in financial regulation that is revealed by the 2000’s financial crisis. Basel III was intended to strengthen bank capital requirements by increasing bank liquidity and decreasing bank leverage.</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global capital framework and new capital buffers require financial institutions to hold more capital and higher quality of capital than under current Basel II rules. The new leverage ratio introduces a </w:t>
      </w:r>
      <w:proofErr w:type="spellStart"/>
      <w:r w:rsidRPr="00D05D57">
        <w:rPr>
          <w:rFonts w:ascii="Helvetica" w:eastAsia="Times New Roman" w:hAnsi="Helvetica" w:cs="Helvetica"/>
          <w:i/>
          <w:color w:val="0A1B32"/>
          <w:sz w:val="27"/>
          <w:szCs w:val="27"/>
          <w:lang w:val="en-US" w:eastAsia="pl-PL"/>
        </w:rPr>
        <w:t>nonrisk</w:t>
      </w:r>
      <w:proofErr w:type="spellEnd"/>
      <w:r w:rsidRPr="00D05D57">
        <w:rPr>
          <w:rFonts w:ascii="Helvetica" w:eastAsia="Times New Roman" w:hAnsi="Helvetica" w:cs="Helvetica"/>
          <w:i/>
          <w:color w:val="0A1B32"/>
          <w:sz w:val="27"/>
          <w:szCs w:val="27"/>
          <w:lang w:val="en-US" w:eastAsia="pl-PL"/>
        </w:rPr>
        <w:t>-based measure to supplement the risk-based minimum capital requirements. The new liquidity ratios ensure that adequate funding is maintained in case there are other severe banking crises.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The figure below shows how Basel III strengthens the three Basel II pillars, especially Pillar 1 with enhanced minimum capital and liquidity requirements. Figure 1.</w:t>
      </w:r>
      <w:r w:rsidR="007A44DB">
        <w:rPr>
          <w:rFonts w:ascii="Helvetica" w:eastAsia="Times New Roman" w:hAnsi="Helvetica" w:cs="Helvetica"/>
          <w:i/>
          <w:color w:val="0A1B32"/>
          <w:sz w:val="27"/>
          <w:szCs w:val="27"/>
          <w:lang w:val="en-US" w:eastAsia="pl-PL"/>
        </w:rPr>
        <w:t xml:space="preserve"> Basel II and Basel III pillars</w:t>
      </w:r>
    </w:p>
    <w:p w:rsidR="00D05D57" w:rsidRPr="007A44DB"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7A44DB">
        <w:rPr>
          <w:rFonts w:ascii="Helvetica" w:eastAsia="Times New Roman" w:hAnsi="Helvetica" w:cs="Helvetica"/>
          <w:b/>
          <w:i/>
          <w:color w:val="0A1B32"/>
          <w:sz w:val="27"/>
          <w:szCs w:val="27"/>
          <w:lang w:val="en-US" w:eastAsia="pl-PL"/>
        </w:rPr>
        <w:t>Capital requirements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The Basel III rule introduced the following measures to strengthen the capital requirement and introduced more capital buffers: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7A44DB">
        <w:rPr>
          <w:rFonts w:ascii="Helvetica" w:eastAsia="Times New Roman" w:hAnsi="Helvetica" w:cs="Helvetica"/>
          <w:b/>
          <w:i/>
          <w:color w:val="0A1B32"/>
          <w:sz w:val="27"/>
          <w:szCs w:val="27"/>
          <w:lang w:val="en-US" w:eastAsia="pl-PL"/>
        </w:rPr>
        <w:t>Capital Conservation Buffer</w:t>
      </w:r>
      <w:r w:rsidRPr="00D05D57">
        <w:rPr>
          <w:rFonts w:ascii="Helvetica" w:eastAsia="Times New Roman" w:hAnsi="Helvetica" w:cs="Helvetica"/>
          <w:i/>
          <w:color w:val="0A1B32"/>
          <w:sz w:val="27"/>
          <w:szCs w:val="27"/>
          <w:lang w:val="en-US" w:eastAsia="pl-PL"/>
        </w:rPr>
        <w:t xml:space="preserve"> is designed to absorb losses during periods of financial and economic stress. Financial institutions will be required to hold a capital conservation buffer of 2.5% to withstand future periods of stress, bringing the total common equity requirement to 7% (4.5% common equity requirement and the 2.5% capital conservation buffer). The capital conservation buffer must be met exclusively with common equity. Financial institutions that do not maintain the capital conservation buffer faces restrictions on payouts of dividends, share buybacks, and bonuses.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7A44DB">
        <w:rPr>
          <w:rFonts w:ascii="Helvetica" w:eastAsia="Times New Roman" w:hAnsi="Helvetica" w:cs="Helvetica"/>
          <w:b/>
          <w:i/>
          <w:color w:val="0A1B32"/>
          <w:sz w:val="27"/>
          <w:szCs w:val="27"/>
          <w:lang w:val="en-US" w:eastAsia="pl-PL"/>
        </w:rPr>
        <w:lastRenderedPageBreak/>
        <w:t>Countercyclical Capital Buffer</w:t>
      </w:r>
      <w:r w:rsidRPr="00D05D57">
        <w:rPr>
          <w:rFonts w:ascii="Helvetica" w:eastAsia="Times New Roman" w:hAnsi="Helvetica" w:cs="Helvetica"/>
          <w:i/>
          <w:color w:val="0A1B32"/>
          <w:sz w:val="27"/>
          <w:szCs w:val="27"/>
          <w:lang w:val="en-US" w:eastAsia="pl-PL"/>
        </w:rPr>
        <w:t xml:space="preserve"> is a countercyclical buffer within a range of 0% and 2.5% of common equity or other fully loss absorbing capital is implemented according to national circumstances. This buffer serves as an extension to the capital conservation buffer.</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7A44DB">
        <w:rPr>
          <w:rFonts w:ascii="Helvetica" w:eastAsia="Times New Roman" w:hAnsi="Helvetica" w:cs="Helvetica"/>
          <w:b/>
          <w:i/>
          <w:color w:val="0A1B32"/>
          <w:sz w:val="27"/>
          <w:szCs w:val="27"/>
          <w:lang w:val="en-US" w:eastAsia="pl-PL"/>
        </w:rPr>
        <w:t>Higher Common Equity Tier 1 (CET1)</w:t>
      </w:r>
      <w:r w:rsidRPr="00D05D57">
        <w:rPr>
          <w:rFonts w:ascii="Helvetica" w:eastAsia="Times New Roman" w:hAnsi="Helvetica" w:cs="Helvetica"/>
          <w:i/>
          <w:color w:val="0A1B32"/>
          <w:sz w:val="27"/>
          <w:szCs w:val="27"/>
          <w:lang w:val="en-US" w:eastAsia="pl-PL"/>
        </w:rPr>
        <w:t xml:space="preserve"> constitutes an increase from 2% to 4.5%. The ratio is set at:</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w:t>
      </w:r>
      <w:r w:rsidRPr="00D05D57">
        <w:rPr>
          <w:rFonts w:ascii="Helvetica" w:eastAsia="Times New Roman" w:hAnsi="Helvetica" w:cs="Helvetica"/>
          <w:i/>
          <w:color w:val="0A1B32"/>
          <w:sz w:val="27"/>
          <w:szCs w:val="27"/>
          <w:lang w:val="en-US" w:eastAsia="pl-PL"/>
        </w:rPr>
        <w:tab/>
        <w:t>3.5% from 1 January 2013</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w:t>
      </w:r>
      <w:r w:rsidRPr="00D05D57">
        <w:rPr>
          <w:rFonts w:ascii="Helvetica" w:eastAsia="Times New Roman" w:hAnsi="Helvetica" w:cs="Helvetica"/>
          <w:i/>
          <w:color w:val="0A1B32"/>
          <w:sz w:val="27"/>
          <w:szCs w:val="27"/>
          <w:lang w:val="en-US" w:eastAsia="pl-PL"/>
        </w:rPr>
        <w:tab/>
        <w:t>4% from 1 January 2014</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w:t>
      </w:r>
      <w:r w:rsidRPr="00D05D57">
        <w:rPr>
          <w:rFonts w:ascii="Helvetica" w:eastAsia="Times New Roman" w:hAnsi="Helvetica" w:cs="Helvetica"/>
          <w:i/>
          <w:color w:val="0A1B32"/>
          <w:sz w:val="27"/>
          <w:szCs w:val="27"/>
          <w:lang w:val="en-US" w:eastAsia="pl-PL"/>
        </w:rPr>
        <w:tab/>
        <w:t>4.5% from 1 January 2015</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7A44DB">
        <w:rPr>
          <w:rFonts w:ascii="Helvetica" w:eastAsia="Times New Roman" w:hAnsi="Helvetica" w:cs="Helvetica"/>
          <w:b/>
          <w:i/>
          <w:color w:val="0A1B32"/>
          <w:sz w:val="27"/>
          <w:szCs w:val="27"/>
          <w:lang w:val="en-US" w:eastAsia="pl-PL"/>
        </w:rPr>
        <w:t>Minimum Total Capital Ratio remains at 8%.</w:t>
      </w:r>
      <w:r w:rsidRPr="00D05D57">
        <w:rPr>
          <w:rFonts w:ascii="Helvetica" w:eastAsia="Times New Roman" w:hAnsi="Helvetica" w:cs="Helvetica"/>
          <w:i/>
          <w:color w:val="0A1B32"/>
          <w:sz w:val="27"/>
          <w:szCs w:val="27"/>
          <w:lang w:val="en-US" w:eastAsia="pl-PL"/>
        </w:rPr>
        <w:t xml:space="preserve"> The addition of the capital conservation buffer increases the total amount of capital a financial institution must hold to </w:t>
      </w:r>
      <w:r w:rsidRPr="007A44DB">
        <w:rPr>
          <w:rFonts w:ascii="Helvetica" w:eastAsia="Times New Roman" w:hAnsi="Helvetica" w:cs="Helvetica"/>
          <w:b/>
          <w:i/>
          <w:color w:val="0A1B32"/>
          <w:sz w:val="27"/>
          <w:szCs w:val="27"/>
          <w:lang w:val="en-US" w:eastAsia="pl-PL"/>
        </w:rPr>
        <w:t>10.5% of risk-weighted assets</w:t>
      </w:r>
      <w:r w:rsidRPr="00D05D57">
        <w:rPr>
          <w:rFonts w:ascii="Helvetica" w:eastAsia="Times New Roman" w:hAnsi="Helvetica" w:cs="Helvetica"/>
          <w:i/>
          <w:color w:val="0A1B32"/>
          <w:sz w:val="27"/>
          <w:szCs w:val="27"/>
          <w:lang w:val="en-US" w:eastAsia="pl-PL"/>
        </w:rPr>
        <w:t>, of which 8.5% must be tier 1 capital. Tier 2 capital instruments are harmonized and tier 3 capital is abolished.</w:t>
      </w:r>
    </w:p>
    <w:p w:rsidR="00D05D57" w:rsidRPr="007A44DB"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7A44DB">
        <w:rPr>
          <w:rFonts w:ascii="Helvetica" w:eastAsia="Times New Roman" w:hAnsi="Helvetica" w:cs="Helvetica"/>
          <w:b/>
          <w:i/>
          <w:color w:val="0A1B32"/>
          <w:sz w:val="27"/>
          <w:szCs w:val="27"/>
          <w:lang w:val="en-US" w:eastAsia="pl-PL"/>
        </w:rPr>
        <w:t>Leverage ratio</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Basel III introduced a minimum "leverage ratio". The leverage ratio was calculated by dividing Tier 1 capital by the bank's average total consolidated assets; the banks were expected to maintain a leverage ratio in excess of 3% under Basel III. In July 2013, the US Federal Reserve Bank announced that the minimum Basel III leverage ratio would be 6% for 8 SIFI banks and 5% for their bank holding companies.</w:t>
      </w:r>
    </w:p>
    <w:p w:rsidR="00D05D57" w:rsidRPr="007A44DB"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7A44DB">
        <w:rPr>
          <w:rFonts w:ascii="Helvetica" w:eastAsia="Times New Roman" w:hAnsi="Helvetica" w:cs="Helvetica"/>
          <w:b/>
          <w:i/>
          <w:color w:val="0A1B32"/>
          <w:sz w:val="27"/>
          <w:szCs w:val="27"/>
          <w:lang w:val="en-US" w:eastAsia="pl-PL"/>
        </w:rPr>
        <w:t>Liquidity requirements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Basel III introduced two required liquidity ratios: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w:t>
      </w:r>
      <w:r w:rsidRPr="00D05D57">
        <w:rPr>
          <w:rFonts w:ascii="Helvetica" w:eastAsia="Times New Roman" w:hAnsi="Helvetica" w:cs="Helvetica"/>
          <w:i/>
          <w:color w:val="0A1B32"/>
          <w:sz w:val="27"/>
          <w:szCs w:val="27"/>
          <w:lang w:val="en-US" w:eastAsia="pl-PL"/>
        </w:rPr>
        <w:tab/>
      </w:r>
      <w:r w:rsidRPr="007A44DB">
        <w:rPr>
          <w:rFonts w:ascii="Helvetica" w:eastAsia="Times New Roman" w:hAnsi="Helvetica" w:cs="Helvetica"/>
          <w:b/>
          <w:i/>
          <w:color w:val="0A1B32"/>
          <w:sz w:val="27"/>
          <w:szCs w:val="27"/>
          <w:lang w:val="en-US" w:eastAsia="pl-PL"/>
        </w:rPr>
        <w:t>Liquidity Coverage Ratio (LCR)</w:t>
      </w:r>
      <w:r w:rsidRPr="00D05D57">
        <w:rPr>
          <w:rFonts w:ascii="Helvetica" w:eastAsia="Times New Roman" w:hAnsi="Helvetica" w:cs="Helvetica"/>
          <w:i/>
          <w:color w:val="0A1B32"/>
          <w:sz w:val="27"/>
          <w:szCs w:val="27"/>
          <w:lang w:val="en-US" w:eastAsia="pl-PL"/>
        </w:rPr>
        <w:t xml:space="preserve"> ensures that sufficient levels of high-quality liquid assets are available for one-month survival in a severe stress scenario.</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w:t>
      </w:r>
      <w:r w:rsidRPr="00D05D57">
        <w:rPr>
          <w:rFonts w:ascii="Helvetica" w:eastAsia="Times New Roman" w:hAnsi="Helvetica" w:cs="Helvetica"/>
          <w:i/>
          <w:color w:val="0A1B32"/>
          <w:sz w:val="27"/>
          <w:szCs w:val="27"/>
          <w:lang w:val="en-US" w:eastAsia="pl-PL"/>
        </w:rPr>
        <w:tab/>
      </w:r>
      <w:r w:rsidRPr="007A44DB">
        <w:rPr>
          <w:rFonts w:ascii="Helvetica" w:eastAsia="Times New Roman" w:hAnsi="Helvetica" w:cs="Helvetica"/>
          <w:b/>
          <w:i/>
          <w:color w:val="0A1B32"/>
          <w:sz w:val="27"/>
          <w:szCs w:val="27"/>
          <w:lang w:val="en-US" w:eastAsia="pl-PL"/>
        </w:rPr>
        <w:t>Net Stable Funding Ratio (NSFR)</w:t>
      </w:r>
      <w:r w:rsidRPr="00D05D57">
        <w:rPr>
          <w:rFonts w:ascii="Helvetica" w:eastAsia="Times New Roman" w:hAnsi="Helvetica" w:cs="Helvetica"/>
          <w:i/>
          <w:color w:val="0A1B32"/>
          <w:sz w:val="27"/>
          <w:szCs w:val="27"/>
          <w:lang w:val="en-US" w:eastAsia="pl-PL"/>
        </w:rPr>
        <w:t xml:space="preserve"> promotes resilience over long-term time horizons by creating more incentives for financial institutions to fund their activities with more stable sources of funding on an ongoing structural basis.</w:t>
      </w:r>
    </w:p>
    <w:p w:rsidR="00D05D57" w:rsidRPr="007A44DB"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7A44DB">
        <w:rPr>
          <w:rFonts w:ascii="Helvetica" w:eastAsia="Times New Roman" w:hAnsi="Helvetica" w:cs="Helvetica"/>
          <w:b/>
          <w:i/>
          <w:color w:val="0A1B32"/>
          <w:sz w:val="27"/>
          <w:szCs w:val="27"/>
          <w:lang w:val="en-US" w:eastAsia="pl-PL"/>
        </w:rPr>
        <w:t>Changes to Counterparty Credit Risk (CCR)</w:t>
      </w:r>
    </w:p>
    <w:p w:rsidR="00D05D57" w:rsidRPr="007A44DB"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Basel III introduced capital requirements to cover </w:t>
      </w:r>
      <w:r w:rsidRPr="007A44DB">
        <w:rPr>
          <w:rFonts w:ascii="Helvetica" w:eastAsia="Times New Roman" w:hAnsi="Helvetica" w:cs="Helvetica"/>
          <w:b/>
          <w:i/>
          <w:color w:val="0A1B32"/>
          <w:sz w:val="27"/>
          <w:szCs w:val="27"/>
          <w:lang w:val="en-US" w:eastAsia="pl-PL"/>
        </w:rPr>
        <w:t>Credit Value Adjustment (CVA) risk and higher capital requirements for securitization products.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II</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7A44DB">
        <w:rPr>
          <w:rFonts w:ascii="Helvetica" w:eastAsia="Times New Roman" w:hAnsi="Helvetica" w:cs="Helvetica"/>
          <w:b/>
          <w:i/>
          <w:color w:val="0A1B32"/>
          <w:sz w:val="27"/>
          <w:szCs w:val="27"/>
          <w:lang w:val="en-US" w:eastAsia="pl-PL"/>
        </w:rPr>
        <w:t xml:space="preserve">The Fundamental Review of the Trading Book (“FRTB”) </w:t>
      </w:r>
      <w:r w:rsidRPr="00D05D57">
        <w:rPr>
          <w:rFonts w:ascii="Helvetica" w:eastAsia="Times New Roman" w:hAnsi="Helvetica" w:cs="Helvetica"/>
          <w:i/>
          <w:color w:val="0A1B32"/>
          <w:sz w:val="27"/>
          <w:szCs w:val="27"/>
          <w:lang w:val="en-US" w:eastAsia="pl-PL"/>
        </w:rPr>
        <w:t>was initiated by the Basel Committee on Banking Supervision (“BCBS”) in the years following the Great Financial Crisis (“GFC”) of 2007-2009, with the aim of completely revising the approach to calculating risk-based capital requirements for trading activities (i.e., “market risk capital”).</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As we will discuss in forthcoming blogs, this complex series of reforms will likely have far-reaching impacts not only on the trading business models of large banks, but also on liquidity provision in key funding markets and therefore the ability of certain non-financial end-users to raise funds.  These impacts are inevitable given that 73 percent of the funding for U.S. non-financial corporations is generated by the U.S. capital markets[1], and because banking organizations remain crucial providers of capital markets services to non-financial end-users.  Given these potentially far-reaching impacts, it is important for us to first understand what the FRTB was designed to do, why we are hearing more about it now, and what is contained in the package of reforms.</w:t>
      </w:r>
    </w:p>
    <w:p w:rsidR="00D05D57" w:rsidRPr="007A44DB"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7A44DB">
        <w:rPr>
          <w:rFonts w:ascii="Helvetica" w:eastAsia="Times New Roman" w:hAnsi="Helvetica" w:cs="Helvetica"/>
          <w:b/>
          <w:i/>
          <w:color w:val="0A1B32"/>
          <w:sz w:val="27"/>
          <w:szCs w:val="27"/>
          <w:lang w:val="en-US" w:eastAsia="pl-PL"/>
        </w:rPr>
        <w:t>What were regulators’ goals in undertaking the FRTB?</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In the immediate wake of the GFC, the BCBS introduced the so-called “Basel II.5” package of reforms, which included a significant increase in the market-risk capital standards for banks. While increasing the overall quantum of capital required for market risk and making other modifications to the calculation of market risk capital (</w:t>
      </w:r>
      <w:r w:rsidRPr="007A44DB">
        <w:rPr>
          <w:rFonts w:ascii="Helvetica" w:eastAsia="Times New Roman" w:hAnsi="Helvetica" w:cs="Helvetica"/>
          <w:b/>
          <w:i/>
          <w:color w:val="0A1B32"/>
          <w:sz w:val="27"/>
          <w:szCs w:val="27"/>
          <w:lang w:val="en-US" w:eastAsia="pl-PL"/>
        </w:rPr>
        <w:t>particularly the introduction of the Incremental Risk Charge and the Stressed Value-at-Risk “</w:t>
      </w:r>
      <w:proofErr w:type="spellStart"/>
      <w:r w:rsidRPr="007A44DB">
        <w:rPr>
          <w:rFonts w:ascii="Helvetica" w:eastAsia="Times New Roman" w:hAnsi="Helvetica" w:cs="Helvetica"/>
          <w:b/>
          <w:i/>
          <w:color w:val="0A1B32"/>
          <w:sz w:val="27"/>
          <w:szCs w:val="27"/>
          <w:lang w:val="en-US" w:eastAsia="pl-PL"/>
        </w:rPr>
        <w:t>VaR</w:t>
      </w:r>
      <w:proofErr w:type="spellEnd"/>
      <w:r w:rsidRPr="007A44DB">
        <w:rPr>
          <w:rFonts w:ascii="Helvetica" w:eastAsia="Times New Roman" w:hAnsi="Helvetica" w:cs="Helvetica"/>
          <w:b/>
          <w:i/>
          <w:color w:val="0A1B32"/>
          <w:sz w:val="27"/>
          <w:szCs w:val="27"/>
          <w:lang w:val="en-US" w:eastAsia="pl-PL"/>
        </w:rPr>
        <w:t>”</w:t>
      </w:r>
      <w:r w:rsidRPr="00D05D57">
        <w:rPr>
          <w:rFonts w:ascii="Helvetica" w:eastAsia="Times New Roman" w:hAnsi="Helvetica" w:cs="Helvetica"/>
          <w:i/>
          <w:color w:val="0A1B32"/>
          <w:sz w:val="27"/>
          <w:szCs w:val="27"/>
          <w:lang w:val="en-US" w:eastAsia="pl-PL"/>
        </w:rPr>
        <w:t>) , the reforms were seen mostly as a stop gap measure until the underlying structural problems with market risk capital standards could be properly addressed by the Committee, which would come later in the form of the more comprehensive FRTB.</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Those structural problems included the lack of a clearly defined boundary between the trading book and the banking book, which provided opportunities for arbitrage between books to obtain more favorable capital treatment for specific instruments or portfolios. Another important concern involved the weaknesses associated with the existing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approach to modelling risk. While this approach did a good job of modeling risk under normal market conditions, it performed poorly during periods of market volatility, such as those that occurred during the GFC (i.e., put differently, it did a poor job of capturing so-called “tail risks”). The addition of a “stressed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measure in the Basel II.5 framework was seen as insufficient to compensate for these weaknesses.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A further structural deficiency of the existing market risk capital framework was its failure to consider the relative liquidity of trading book positions and the risks of market illiquidity.  The existing framework was based on liquidity horizon assumption of ten days, ignoring the fact that many positions may take far longer to liquidate in practice (and particularly during periods of market stress).  Other identified problems with the existing framework included a lack of transparency and comparability between the internal models and standardized approaches, particularly in areas such as hedging and diversification, as well as the more favorable treatment of credit risk in the trading book, which had led banks putting an excessive number of their credit positions in the trading rather than the banking book.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To address these deficiencies, the BCBS issued a consultation on the FRTB in 2012. This was followed by further consultation exercises in 2013 and 2014, an initial set of standards in 2016 and subsequent modifications to those standards that were ultimately finalized in early 2019 (see timeline in Figure 1 below).</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Throughout, the core goals of the FRTB initiative were to:</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a) create a clear regulatory boundary between the trading and banking books;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b) replace the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approach to risk measurement with a more comprehensive alternative known as </w:t>
      </w:r>
      <w:r w:rsidRPr="007A44DB">
        <w:rPr>
          <w:rFonts w:ascii="Helvetica" w:eastAsia="Times New Roman" w:hAnsi="Helvetica" w:cs="Helvetica"/>
          <w:b/>
          <w:i/>
          <w:color w:val="0A1B32"/>
          <w:sz w:val="27"/>
          <w:szCs w:val="27"/>
          <w:lang w:val="en-US" w:eastAsia="pl-PL"/>
        </w:rPr>
        <w:t>Expected Shortfall (“ES”);</w:t>
      </w:r>
    </w:p>
    <w:p w:rsidR="00D05D57" w:rsidRPr="007A44DB"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c) revise the </w:t>
      </w:r>
      <w:r w:rsidRPr="007A44DB">
        <w:rPr>
          <w:rFonts w:ascii="Helvetica" w:eastAsia="Times New Roman" w:hAnsi="Helvetica" w:cs="Helvetica"/>
          <w:b/>
          <w:i/>
          <w:color w:val="0A1B32"/>
          <w:sz w:val="27"/>
          <w:szCs w:val="27"/>
          <w:lang w:val="en-US" w:eastAsia="pl-PL"/>
        </w:rPr>
        <w:t>Standardized Approach (“SA”) to make it more risk-sensitive and allowing it to act as a credible fallback Internal Models Approach (“IMA”);</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d) replace the </w:t>
      </w:r>
      <w:r w:rsidRPr="007A44DB">
        <w:rPr>
          <w:rFonts w:ascii="Helvetica" w:eastAsia="Times New Roman" w:hAnsi="Helvetica" w:cs="Helvetica"/>
          <w:b/>
          <w:i/>
          <w:color w:val="0A1B32"/>
          <w:sz w:val="27"/>
          <w:szCs w:val="27"/>
          <w:lang w:val="en-US" w:eastAsia="pl-PL"/>
        </w:rPr>
        <w:t xml:space="preserve">static 10-day liquidity horizon assumed under the </w:t>
      </w:r>
      <w:proofErr w:type="spellStart"/>
      <w:r w:rsidRPr="007A44DB">
        <w:rPr>
          <w:rFonts w:ascii="Helvetica" w:eastAsia="Times New Roman" w:hAnsi="Helvetica" w:cs="Helvetica"/>
          <w:b/>
          <w:i/>
          <w:color w:val="0A1B32"/>
          <w:sz w:val="27"/>
          <w:szCs w:val="27"/>
          <w:lang w:val="en-US" w:eastAsia="pl-PL"/>
        </w:rPr>
        <w:t>VaR</w:t>
      </w:r>
      <w:proofErr w:type="spellEnd"/>
      <w:r w:rsidRPr="007A44DB">
        <w:rPr>
          <w:rFonts w:ascii="Helvetica" w:eastAsia="Times New Roman" w:hAnsi="Helvetica" w:cs="Helvetica"/>
          <w:b/>
          <w:i/>
          <w:color w:val="0A1B32"/>
          <w:sz w:val="27"/>
          <w:szCs w:val="27"/>
          <w:lang w:val="en-US" w:eastAsia="pl-PL"/>
        </w:rPr>
        <w:t xml:space="preserve"> framework with varying liquidity horizons in the IMA;</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e) introduce a </w:t>
      </w:r>
      <w:r w:rsidRPr="007A44DB">
        <w:rPr>
          <w:rFonts w:ascii="Helvetica" w:eastAsia="Times New Roman" w:hAnsi="Helvetica" w:cs="Helvetica"/>
          <w:b/>
          <w:i/>
          <w:color w:val="0A1B32"/>
          <w:sz w:val="27"/>
          <w:szCs w:val="27"/>
          <w:lang w:val="en-US" w:eastAsia="pl-PL"/>
        </w:rPr>
        <w:t xml:space="preserve">new capital add-on for risk factors that fail </w:t>
      </w:r>
      <w:proofErr w:type="spellStart"/>
      <w:r w:rsidRPr="007A44DB">
        <w:rPr>
          <w:rFonts w:ascii="Helvetica" w:eastAsia="Times New Roman" w:hAnsi="Helvetica" w:cs="Helvetica"/>
          <w:b/>
          <w:i/>
          <w:color w:val="0A1B32"/>
          <w:sz w:val="27"/>
          <w:szCs w:val="27"/>
          <w:lang w:val="en-US" w:eastAsia="pl-PL"/>
        </w:rPr>
        <w:t>modelability</w:t>
      </w:r>
      <w:proofErr w:type="spellEnd"/>
      <w:r w:rsidRPr="007A44DB">
        <w:rPr>
          <w:rFonts w:ascii="Helvetica" w:eastAsia="Times New Roman" w:hAnsi="Helvetica" w:cs="Helvetica"/>
          <w:b/>
          <w:i/>
          <w:color w:val="0A1B32"/>
          <w:sz w:val="27"/>
          <w:szCs w:val="27"/>
          <w:lang w:val="en-US" w:eastAsia="pl-PL"/>
        </w:rPr>
        <w:t xml:space="preserve"> tests, known as Non-</w:t>
      </w:r>
      <w:proofErr w:type="spellStart"/>
      <w:r w:rsidRPr="007A44DB">
        <w:rPr>
          <w:rFonts w:ascii="Helvetica" w:eastAsia="Times New Roman" w:hAnsi="Helvetica" w:cs="Helvetica"/>
          <w:b/>
          <w:i/>
          <w:color w:val="0A1B32"/>
          <w:sz w:val="27"/>
          <w:szCs w:val="27"/>
          <w:lang w:val="en-US" w:eastAsia="pl-PL"/>
        </w:rPr>
        <w:t>Modellable</w:t>
      </w:r>
      <w:proofErr w:type="spellEnd"/>
      <w:r w:rsidRPr="007A44DB">
        <w:rPr>
          <w:rFonts w:ascii="Helvetica" w:eastAsia="Times New Roman" w:hAnsi="Helvetica" w:cs="Helvetica"/>
          <w:b/>
          <w:i/>
          <w:color w:val="0A1B32"/>
          <w:sz w:val="27"/>
          <w:szCs w:val="27"/>
          <w:lang w:val="en-US" w:eastAsia="pl-PL"/>
        </w:rPr>
        <w:t xml:space="preserve"> Risk Factors (“NMRFs”); and</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f) create a new and more robust approvals processes for obtaining regulatory approval for IMA use and requiring these approvals to occur at the level of individual desks rather than granting firm-wide approval.</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Although not a stated objective of the BCBS, industry quantitative impact study (“QIS”) exercises have demonstrated[2], that the market risk changes will </w:t>
      </w:r>
      <w:r w:rsidRPr="005277DC">
        <w:rPr>
          <w:rFonts w:ascii="Helvetica" w:eastAsia="Times New Roman" w:hAnsi="Helvetica" w:cs="Helvetica"/>
          <w:b/>
          <w:i/>
          <w:color w:val="0A1B32"/>
          <w:sz w:val="27"/>
          <w:szCs w:val="27"/>
          <w:lang w:val="en-US" w:eastAsia="pl-PL"/>
        </w:rPr>
        <w:t>also likely increase the aggregate level of market related RWA in the US banking system if implemented without any modifications</w:t>
      </w:r>
      <w:r w:rsidRPr="00D05D57">
        <w:rPr>
          <w:rFonts w:ascii="Helvetica" w:eastAsia="Times New Roman" w:hAnsi="Helvetica" w:cs="Helvetica"/>
          <w:i/>
          <w:color w:val="0A1B32"/>
          <w:sz w:val="27"/>
          <w:szCs w:val="27"/>
          <w:lang w:val="en-US" w:eastAsia="pl-PL"/>
        </w:rPr>
        <w:t xml:space="preserve">.  This impact would be distributed unevenly, imposing a </w:t>
      </w:r>
      <w:r w:rsidRPr="005277DC">
        <w:rPr>
          <w:rFonts w:ascii="Helvetica" w:eastAsia="Times New Roman" w:hAnsi="Helvetica" w:cs="Helvetica"/>
          <w:b/>
          <w:i/>
          <w:color w:val="0A1B32"/>
          <w:sz w:val="27"/>
          <w:szCs w:val="27"/>
          <w:lang w:val="en-US" w:eastAsia="pl-PL"/>
        </w:rPr>
        <w:t xml:space="preserve">significant capital </w:t>
      </w:r>
      <w:r w:rsidRPr="005277DC">
        <w:rPr>
          <w:rFonts w:ascii="Helvetica" w:eastAsia="Times New Roman" w:hAnsi="Helvetica" w:cs="Helvetica"/>
          <w:b/>
          <w:i/>
          <w:color w:val="0A1B32"/>
          <w:sz w:val="27"/>
          <w:szCs w:val="27"/>
          <w:lang w:val="en-US" w:eastAsia="pl-PL"/>
        </w:rPr>
        <w:lastRenderedPageBreak/>
        <w:t>penalty on banks with large trading books</w:t>
      </w:r>
      <w:r w:rsidRPr="00D05D57">
        <w:rPr>
          <w:rFonts w:ascii="Helvetica" w:eastAsia="Times New Roman" w:hAnsi="Helvetica" w:cs="Helvetica"/>
          <w:i/>
          <w:color w:val="0A1B32"/>
          <w:sz w:val="27"/>
          <w:szCs w:val="27"/>
          <w:lang w:val="en-US" w:eastAsia="pl-PL"/>
        </w:rPr>
        <w:t xml:space="preserve">. Depending on how it is implemented, the FRTB could also have a disproportionate impact on some types of products/markets versus others. For example, </w:t>
      </w:r>
      <w:r w:rsidRPr="005277DC">
        <w:rPr>
          <w:rFonts w:ascii="Helvetica" w:eastAsia="Times New Roman" w:hAnsi="Helvetica" w:cs="Helvetica"/>
          <w:b/>
          <w:i/>
          <w:color w:val="0A1B32"/>
          <w:sz w:val="27"/>
          <w:szCs w:val="27"/>
          <w:lang w:val="en-US" w:eastAsia="pl-PL"/>
        </w:rPr>
        <w:t xml:space="preserve">the way securitization exposures are calculated under the Basel FRTB standards could discourage market making in that sector. Similarly, less liquid markets (e.g., certain corporate bonds and emerging markets) could also see a reduction in market making activity; this is because these types of products/markets are more like to fail the FRTB’s </w:t>
      </w:r>
      <w:proofErr w:type="spellStart"/>
      <w:r w:rsidRPr="005277DC">
        <w:rPr>
          <w:rFonts w:ascii="Helvetica" w:eastAsia="Times New Roman" w:hAnsi="Helvetica" w:cs="Helvetica"/>
          <w:b/>
          <w:i/>
          <w:color w:val="0A1B32"/>
          <w:sz w:val="27"/>
          <w:szCs w:val="27"/>
          <w:lang w:val="en-US" w:eastAsia="pl-PL"/>
        </w:rPr>
        <w:t>modelability</w:t>
      </w:r>
      <w:proofErr w:type="spellEnd"/>
      <w:r w:rsidRPr="005277DC">
        <w:rPr>
          <w:rFonts w:ascii="Helvetica" w:eastAsia="Times New Roman" w:hAnsi="Helvetica" w:cs="Helvetica"/>
          <w:b/>
          <w:i/>
          <w:color w:val="0A1B32"/>
          <w:sz w:val="27"/>
          <w:szCs w:val="27"/>
          <w:lang w:val="en-US" w:eastAsia="pl-PL"/>
        </w:rPr>
        <w:t xml:space="preserve"> tests, resulting in more punitive capital treatment under the Basel standards</w:t>
      </w:r>
      <w:r w:rsidRPr="00D05D57">
        <w:rPr>
          <w:rFonts w:ascii="Helvetica" w:eastAsia="Times New Roman" w:hAnsi="Helvetica" w:cs="Helvetica"/>
          <w:i/>
          <w:color w:val="0A1B32"/>
          <w:sz w:val="27"/>
          <w:szCs w:val="27"/>
          <w:lang w:val="en-US" w:eastAsia="pl-PL"/>
        </w:rPr>
        <w:t>. We will discuss these potential impacts among others in future blogs.</w:t>
      </w:r>
    </w:p>
    <w:p w:rsidR="00D05D57" w:rsidRPr="007A44DB"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7A44DB">
        <w:rPr>
          <w:rFonts w:ascii="Helvetica" w:eastAsia="Times New Roman" w:hAnsi="Helvetica" w:cs="Helvetica"/>
          <w:b/>
          <w:i/>
          <w:color w:val="0A1B32"/>
          <w:sz w:val="27"/>
          <w:szCs w:val="27"/>
          <w:lang w:val="en-US" w:eastAsia="pl-PL"/>
        </w:rPr>
        <w:t>Whe</w:t>
      </w:r>
      <w:r w:rsidR="007A44DB">
        <w:rPr>
          <w:rFonts w:ascii="Helvetica" w:eastAsia="Times New Roman" w:hAnsi="Helvetica" w:cs="Helvetica"/>
          <w:b/>
          <w:i/>
          <w:color w:val="0A1B32"/>
          <w:sz w:val="27"/>
          <w:szCs w:val="27"/>
          <w:lang w:val="en-US" w:eastAsia="pl-PL"/>
        </w:rPr>
        <w:t>n will the FRTB be implemented?</w:t>
      </w:r>
      <w:r w:rsidRPr="00D05D57">
        <w:rPr>
          <w:rFonts w:ascii="Helvetica" w:eastAsia="Times New Roman" w:hAnsi="Helvetica" w:cs="Helvetica"/>
          <w:i/>
          <w:color w:val="0A1B32"/>
          <w:sz w:val="27"/>
          <w:szCs w:val="27"/>
          <w:lang w:val="en-US" w:eastAsia="pl-PL"/>
        </w:rPr>
        <w:t xml:space="preserve">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While the global standards have been finalized at the Basel level, important outstanding questions remain about the implementation of the final rules in each jurisdiction. Perhaps the most obvious uncertainty concerns the timing of FRTB implementation.  The final BCBS standards set January 1, 2022, as the deadline for national implementation, but in March of last year the BCBS agreed to push back that date to January 1, 2023, to give banks additional time to respond to the COVID-19 crisis.  Given the complexity of the FRTB changes (along with the remaining Basel III Endgame reforms to other RWA requirements), it was widely assumed that proposed rulemakings would be issued in all the major jurisdictions by the end of 2020 at the latest.  This timeframe was seen as necessary to provide for significant public input on the proposed changes and to ensure that there was an adequate amount of time between finalization of national rules and the final go-live date for banks to build, test and validate the necessary systems and models required to implement the FRTB.</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However, as of late August 2021, only a few jurisdictions (such as Hong Kong) appear to be on track for full implementation by the 2023 deadline.  The EU has issued implementing regulations relating to the FRTB, with standardized reporting requirements due to come into effect by September 2021 and full implementation pushed out to 2024.  Of note, the U.S. banking regulators had yet to issue a formal FRTB proposal, or indeed a proposal to implement other elements of the Basel III Endgame reforms, having focused much of their attention over the past year on dealing with the response to the pandemic.  This strongly suggests that the timeline for U.S. implementation (and likely most other jurisdictions) will extend into 2024 or possibly later.  While a further delay is viewed as almost inevitable, neither the BCBS nor U.S. regulators have, as of this writing, confirmed a new implementation date for the FRTB.</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 xml:space="preserve">Although much of the focus has been on the implementation timeline, important substantive issues remain undecided.  While the FRTB is an internationally agreed minimum standard, national regulators are afforded flexibility and discretion in how they implement it (discretion that has often been used by U.S. regulators to “gold plate” other Basel Accords).  In recent public comments made at the BPI-SIFMA Prudential Conference[3], Federal Reserve General Counsel Mark Van Der </w:t>
      </w:r>
      <w:proofErr w:type="spellStart"/>
      <w:r w:rsidRPr="00D05D57">
        <w:rPr>
          <w:rFonts w:ascii="Helvetica" w:eastAsia="Times New Roman" w:hAnsi="Helvetica" w:cs="Helvetica"/>
          <w:i/>
          <w:color w:val="0A1B32"/>
          <w:sz w:val="27"/>
          <w:szCs w:val="27"/>
          <w:lang w:val="en-US" w:eastAsia="pl-PL"/>
        </w:rPr>
        <w:t>Weide</w:t>
      </w:r>
      <w:proofErr w:type="spellEnd"/>
      <w:r w:rsidRPr="00D05D57">
        <w:rPr>
          <w:rFonts w:ascii="Helvetica" w:eastAsia="Times New Roman" w:hAnsi="Helvetica" w:cs="Helvetica"/>
          <w:i/>
          <w:color w:val="0A1B32"/>
          <w:sz w:val="27"/>
          <w:szCs w:val="27"/>
          <w:lang w:val="en-US" w:eastAsia="pl-PL"/>
        </w:rPr>
        <w:t xml:space="preserve"> committed to a “robust and faithful” implementation of the FRTB and the related Basel III endgame proposals, but also acknowledged that the agencies retained the flexibility to modify the standards to fit unique U.S. legal requirements and business/market structures, as well as to determine the scope of applicability of the reforms.  We will discuss some of the outstanding substantive issues later in this blog series.</w:t>
      </w:r>
    </w:p>
    <w:p w:rsidR="00D05D57" w:rsidRPr="005277D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5277DC">
        <w:rPr>
          <w:rFonts w:ascii="Helvetica" w:eastAsia="Times New Roman" w:hAnsi="Helvetica" w:cs="Helvetica"/>
          <w:b/>
          <w:i/>
          <w:color w:val="0A1B32"/>
          <w:sz w:val="27"/>
          <w:szCs w:val="27"/>
          <w:lang w:val="en-US" w:eastAsia="pl-PL"/>
        </w:rPr>
        <w:t>What are the core components of the FRTB?</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The finalized BCBS framework outlines two approaches that firms can adopt to calculate their market risk capital requirements – the Standardized Approach (“SA”) and Internal Models Approach (“IMA”).  All banks must implement the SA; however, some firms may additionally opt for the IMA subject to initial and continued conformance to stringent model performance standards.  Consistent with the goal of establishing a clearer boundary between the credit and trading books, the final rule also significantly revised the approach to classifying firm positions as either trading or banking exposures.  Below is a high-level description and graphic of each of the key elemen</w:t>
      </w:r>
      <w:r w:rsidR="005277DC">
        <w:rPr>
          <w:rFonts w:ascii="Helvetica" w:eastAsia="Times New Roman" w:hAnsi="Helvetica" w:cs="Helvetica"/>
          <w:i/>
          <w:color w:val="0A1B32"/>
          <w:sz w:val="27"/>
          <w:szCs w:val="27"/>
          <w:lang w:val="en-US" w:eastAsia="pl-PL"/>
        </w:rPr>
        <w:t>ts of the final FRTB standards.</w:t>
      </w:r>
    </w:p>
    <w:p w:rsidR="00D05D57" w:rsidRPr="005277D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5277DC">
        <w:rPr>
          <w:rFonts w:ascii="Helvetica" w:eastAsia="Times New Roman" w:hAnsi="Helvetica" w:cs="Helvetica"/>
          <w:b/>
          <w:i/>
          <w:color w:val="0A1B32"/>
          <w:sz w:val="27"/>
          <w:szCs w:val="27"/>
          <w:lang w:val="en-US" w:eastAsia="pl-PL"/>
        </w:rPr>
        <w:t>Data, Reporting and Testing Changes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In the FRTB, the BCBS makes changes to the way market risk data is gathered, reported, monitored, and verified for accuracy. At a high-level, these changes include:</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w:t>
      </w:r>
      <w:r w:rsidRPr="00D05D57">
        <w:rPr>
          <w:rFonts w:ascii="Helvetica" w:eastAsia="Times New Roman" w:hAnsi="Helvetica" w:cs="Helvetica"/>
          <w:i/>
          <w:color w:val="0A1B32"/>
          <w:sz w:val="27"/>
          <w:szCs w:val="27"/>
          <w:lang w:val="en-US" w:eastAsia="pl-PL"/>
        </w:rPr>
        <w:tab/>
        <w:t>Implementing a more granular desk level model review and approval process;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w:t>
      </w:r>
      <w:r w:rsidRPr="00D05D57">
        <w:rPr>
          <w:rFonts w:ascii="Helvetica" w:eastAsia="Times New Roman" w:hAnsi="Helvetica" w:cs="Helvetica"/>
          <w:i/>
          <w:color w:val="0A1B32"/>
          <w:sz w:val="27"/>
          <w:szCs w:val="27"/>
          <w:lang w:val="en-US" w:eastAsia="pl-PL"/>
        </w:rPr>
        <w:tab/>
        <w:t>Requiring desk level profit and loss attribution tests (“PLAT”) and back testing to be performed on a daily basis;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w:t>
      </w:r>
      <w:r w:rsidRPr="00D05D57">
        <w:rPr>
          <w:rFonts w:ascii="Helvetica" w:eastAsia="Times New Roman" w:hAnsi="Helvetica" w:cs="Helvetica"/>
          <w:i/>
          <w:color w:val="0A1B32"/>
          <w:sz w:val="27"/>
          <w:szCs w:val="27"/>
          <w:lang w:val="en-US" w:eastAsia="pl-PL"/>
        </w:rPr>
        <w:tab/>
        <w:t>Expanding the substance of intra-day monitoring and measurement of market risk; and</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w:t>
      </w:r>
      <w:r w:rsidRPr="00D05D57">
        <w:rPr>
          <w:rFonts w:ascii="Helvetica" w:eastAsia="Times New Roman" w:hAnsi="Helvetica" w:cs="Helvetica"/>
          <w:i/>
          <w:color w:val="0A1B32"/>
          <w:sz w:val="27"/>
          <w:szCs w:val="27"/>
          <w:lang w:val="en-US" w:eastAsia="pl-PL"/>
        </w:rPr>
        <w:tab/>
        <w:t>Applying more granular assessments of model performance.</w:t>
      </w:r>
    </w:p>
    <w:p w:rsidR="00D05D57" w:rsidRPr="005277D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5277DC">
        <w:rPr>
          <w:rFonts w:ascii="Helvetica" w:eastAsia="Times New Roman" w:hAnsi="Helvetica" w:cs="Helvetica"/>
          <w:b/>
          <w:i/>
          <w:color w:val="0A1B32"/>
          <w:sz w:val="27"/>
          <w:szCs w:val="27"/>
          <w:lang w:val="en-US" w:eastAsia="pl-PL"/>
        </w:rPr>
        <w:t>Trading Book Definitions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 xml:space="preserve">As noted above, one of the main concerns about the existing market risk framework was that it was </w:t>
      </w:r>
      <w:r w:rsidRPr="005277DC">
        <w:rPr>
          <w:rFonts w:ascii="Helvetica" w:eastAsia="Times New Roman" w:hAnsi="Helvetica" w:cs="Helvetica"/>
          <w:b/>
          <w:i/>
          <w:color w:val="0A1B32"/>
          <w:sz w:val="27"/>
          <w:szCs w:val="27"/>
          <w:u w:val="single"/>
          <w:lang w:val="en-US" w:eastAsia="pl-PL"/>
        </w:rPr>
        <w:t>insufficiently prescriptive in its classification of trading instruments, allowing for significant arbitrage to occur between the trading and banking books</w:t>
      </w:r>
      <w:r w:rsidRPr="00D05D57">
        <w:rPr>
          <w:rFonts w:ascii="Helvetica" w:eastAsia="Times New Roman" w:hAnsi="Helvetica" w:cs="Helvetica"/>
          <w:i/>
          <w:color w:val="0A1B32"/>
          <w:sz w:val="27"/>
          <w:szCs w:val="27"/>
          <w:lang w:val="en-US" w:eastAsia="pl-PL"/>
        </w:rPr>
        <w:t>, and leading to inconsistent interpretations between firms.  The BCBS addressed their concerns in the FRTB framework by:</w:t>
      </w:r>
    </w:p>
    <w:p w:rsidR="00D05D57" w:rsidRPr="005277DC" w:rsidRDefault="00D05D57" w:rsidP="005277DC">
      <w:pPr>
        <w:pStyle w:val="ListParagraph"/>
        <w:numPr>
          <w:ilvl w:val="0"/>
          <w:numId w:val="24"/>
        </w:numPr>
        <w:spacing w:after="100" w:afterAutospacing="1" w:line="240" w:lineRule="auto"/>
        <w:jc w:val="both"/>
        <w:rPr>
          <w:rFonts w:ascii="Helvetica" w:eastAsia="Times New Roman" w:hAnsi="Helvetica" w:cs="Helvetica"/>
          <w:b/>
          <w:i/>
          <w:color w:val="0A1B32"/>
          <w:sz w:val="27"/>
          <w:szCs w:val="27"/>
          <w:lang w:val="en-US" w:eastAsia="pl-PL"/>
        </w:rPr>
      </w:pPr>
      <w:r w:rsidRPr="005277DC">
        <w:rPr>
          <w:rFonts w:ascii="Helvetica" w:eastAsia="Times New Roman" w:hAnsi="Helvetica" w:cs="Helvetica"/>
          <w:i/>
          <w:color w:val="0A1B32"/>
          <w:sz w:val="27"/>
          <w:szCs w:val="27"/>
          <w:lang w:val="en-US" w:eastAsia="pl-PL"/>
        </w:rPr>
        <w:t xml:space="preserve">Defining </w:t>
      </w:r>
      <w:r w:rsidRPr="005277DC">
        <w:rPr>
          <w:rFonts w:ascii="Helvetica" w:eastAsia="Times New Roman" w:hAnsi="Helvetica" w:cs="Helvetica"/>
          <w:b/>
          <w:i/>
          <w:color w:val="0A1B32"/>
          <w:sz w:val="27"/>
          <w:szCs w:val="27"/>
          <w:lang w:val="en-US" w:eastAsia="pl-PL"/>
        </w:rPr>
        <w:t>a new boundary based on whether the bank intends to trade an asset or hold it to maturity;</w:t>
      </w:r>
    </w:p>
    <w:p w:rsidR="00D05D57" w:rsidRPr="005277DC" w:rsidRDefault="00D05D57" w:rsidP="005277DC">
      <w:pPr>
        <w:pStyle w:val="ListParagraph"/>
        <w:numPr>
          <w:ilvl w:val="0"/>
          <w:numId w:val="24"/>
        </w:numPr>
        <w:spacing w:after="100" w:afterAutospacing="1" w:line="240" w:lineRule="auto"/>
        <w:jc w:val="both"/>
        <w:rPr>
          <w:rFonts w:ascii="Helvetica" w:eastAsia="Times New Roman" w:hAnsi="Helvetica" w:cs="Helvetica"/>
          <w:i/>
          <w:color w:val="0A1B32"/>
          <w:sz w:val="27"/>
          <w:szCs w:val="27"/>
          <w:lang w:val="en-US" w:eastAsia="pl-PL"/>
        </w:rPr>
      </w:pPr>
      <w:r w:rsidRPr="005277DC">
        <w:rPr>
          <w:rFonts w:ascii="Helvetica" w:eastAsia="Times New Roman" w:hAnsi="Helvetica" w:cs="Helvetica"/>
          <w:i/>
          <w:color w:val="0A1B32"/>
          <w:sz w:val="27"/>
          <w:szCs w:val="27"/>
          <w:lang w:val="en-US" w:eastAsia="pl-PL"/>
        </w:rPr>
        <w:t>Providing a presumptive list of trading book assets and Regulatory Trading Desks (“RTDs”);</w:t>
      </w:r>
    </w:p>
    <w:p w:rsidR="00D05D57" w:rsidRPr="005277DC" w:rsidRDefault="00D05D57" w:rsidP="005277DC">
      <w:pPr>
        <w:pStyle w:val="ListParagraph"/>
        <w:numPr>
          <w:ilvl w:val="0"/>
          <w:numId w:val="24"/>
        </w:numPr>
        <w:spacing w:after="100" w:afterAutospacing="1" w:line="240" w:lineRule="auto"/>
        <w:jc w:val="both"/>
        <w:rPr>
          <w:rFonts w:ascii="Helvetica" w:eastAsia="Times New Roman" w:hAnsi="Helvetica" w:cs="Helvetica"/>
          <w:i/>
          <w:color w:val="0A1B32"/>
          <w:sz w:val="27"/>
          <w:szCs w:val="27"/>
          <w:lang w:val="en-US" w:eastAsia="pl-PL"/>
        </w:rPr>
      </w:pPr>
      <w:r w:rsidRPr="005277DC">
        <w:rPr>
          <w:rFonts w:ascii="Helvetica" w:eastAsia="Times New Roman" w:hAnsi="Helvetica" w:cs="Helvetica"/>
          <w:i/>
          <w:color w:val="0A1B32"/>
          <w:sz w:val="27"/>
          <w:szCs w:val="27"/>
          <w:lang w:val="en-US" w:eastAsia="pl-PL"/>
        </w:rPr>
        <w:t>Imposing more restrictive rules for internal transfers between bank and trading booking, including prohibiting any capital relief as a result of reclassification;</w:t>
      </w:r>
    </w:p>
    <w:p w:rsidR="00D05D57" w:rsidRPr="005277DC" w:rsidRDefault="00D05D57" w:rsidP="005277DC">
      <w:pPr>
        <w:pStyle w:val="ListParagraph"/>
        <w:numPr>
          <w:ilvl w:val="0"/>
          <w:numId w:val="24"/>
        </w:numPr>
        <w:spacing w:after="100" w:afterAutospacing="1" w:line="240" w:lineRule="auto"/>
        <w:jc w:val="both"/>
        <w:rPr>
          <w:rFonts w:ascii="Helvetica" w:eastAsia="Times New Roman" w:hAnsi="Helvetica" w:cs="Helvetica"/>
          <w:i/>
          <w:color w:val="0A1B32"/>
          <w:sz w:val="27"/>
          <w:szCs w:val="27"/>
          <w:lang w:val="en-US" w:eastAsia="pl-PL"/>
        </w:rPr>
      </w:pPr>
      <w:r w:rsidRPr="005277DC">
        <w:rPr>
          <w:rFonts w:ascii="Helvetica" w:eastAsia="Times New Roman" w:hAnsi="Helvetica" w:cs="Helvetica"/>
          <w:i/>
          <w:color w:val="0A1B32"/>
          <w:sz w:val="27"/>
          <w:szCs w:val="27"/>
          <w:lang w:val="en-US" w:eastAsia="pl-PL"/>
        </w:rPr>
        <w:t>Placing a restriction on recognition of internal risk transfers (only external risk transfers are recognized under the framework); and</w:t>
      </w:r>
    </w:p>
    <w:p w:rsidR="00D05D57" w:rsidRPr="005277DC" w:rsidRDefault="00D05D57" w:rsidP="005277DC">
      <w:pPr>
        <w:pStyle w:val="ListParagraph"/>
        <w:numPr>
          <w:ilvl w:val="0"/>
          <w:numId w:val="24"/>
        </w:numPr>
        <w:spacing w:after="100" w:afterAutospacing="1" w:line="240" w:lineRule="auto"/>
        <w:jc w:val="both"/>
        <w:rPr>
          <w:rFonts w:ascii="Helvetica" w:eastAsia="Times New Roman" w:hAnsi="Helvetica" w:cs="Helvetica"/>
          <w:i/>
          <w:color w:val="0A1B32"/>
          <w:sz w:val="27"/>
          <w:szCs w:val="27"/>
          <w:lang w:val="en-US" w:eastAsia="pl-PL"/>
        </w:rPr>
      </w:pPr>
      <w:r w:rsidRPr="005277DC">
        <w:rPr>
          <w:rFonts w:ascii="Helvetica" w:eastAsia="Times New Roman" w:hAnsi="Helvetica" w:cs="Helvetica"/>
          <w:i/>
          <w:color w:val="0A1B32"/>
          <w:sz w:val="27"/>
          <w:szCs w:val="27"/>
          <w:lang w:val="en-US" w:eastAsia="pl-PL"/>
        </w:rPr>
        <w:t>Imposing a more robust framework for hedging recognition to focus on their effectiveness during periods of stress.</w:t>
      </w:r>
    </w:p>
    <w:p w:rsidR="00D05D57" w:rsidRPr="005277D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5277DC">
        <w:rPr>
          <w:rFonts w:ascii="Helvetica" w:eastAsia="Times New Roman" w:hAnsi="Helvetica" w:cs="Helvetica"/>
          <w:b/>
          <w:i/>
          <w:color w:val="0A1B32"/>
          <w:sz w:val="27"/>
          <w:szCs w:val="27"/>
          <w:lang w:val="en-US" w:eastAsia="pl-PL"/>
        </w:rPr>
        <w:t>Standardized Approach (SA)</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SA is the </w:t>
      </w:r>
      <w:r w:rsidRPr="005277DC">
        <w:rPr>
          <w:rFonts w:ascii="Helvetica" w:eastAsia="Times New Roman" w:hAnsi="Helvetica" w:cs="Helvetica"/>
          <w:b/>
          <w:i/>
          <w:color w:val="0A1B32"/>
          <w:sz w:val="27"/>
          <w:szCs w:val="27"/>
          <w:lang w:val="en-US" w:eastAsia="pl-PL"/>
        </w:rPr>
        <w:t>default market capital requirement for all banks that fall within the scope of the FRTB,</w:t>
      </w:r>
      <w:r w:rsidRPr="00D05D57">
        <w:rPr>
          <w:rFonts w:ascii="Helvetica" w:eastAsia="Times New Roman" w:hAnsi="Helvetica" w:cs="Helvetica"/>
          <w:i/>
          <w:color w:val="0A1B32"/>
          <w:sz w:val="27"/>
          <w:szCs w:val="27"/>
          <w:lang w:val="en-US" w:eastAsia="pl-PL"/>
        </w:rPr>
        <w:t xml:space="preserve"> regardless of whether a firm pursues IMA accreditation for the permitted asset classes on a desk-by-desk basis.  Importantly, because the IMA approach is subject to initial and continual performance testing, the SA serves as a fallback if a firm fails to meet the performance goals and is the only approach available for correlation trading.[4] As noted above, the SA is significantly more risk sensitive than current standardized approaches.  However, that enhanced risk sensitivity – which occurs primarily through the introduction of a new Sensitivities-Based Approach (“SBA”) – is reliant on data obtained from a bank’s pricing models to derive capital requirements. That means that many firms will have to build significant new modelling capacities to meet the requirements.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The SA capital risk charge is comprised of three components: the SBA, the Default Risk Charge (“DRC”) and the Residual Risk Add-on (“RRA”).  The SA capital charge is calculated using the sum of the SBA, DRC and, if applicable, the RRA charge.</w:t>
      </w:r>
    </w:p>
    <w:p w:rsidR="00D05D57" w:rsidRPr="005277D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5277DC">
        <w:rPr>
          <w:rFonts w:ascii="Helvetica" w:eastAsia="Times New Roman" w:hAnsi="Helvetica" w:cs="Helvetica"/>
          <w:b/>
          <w:i/>
          <w:color w:val="0A1B32"/>
          <w:sz w:val="27"/>
          <w:szCs w:val="27"/>
          <w:lang w:val="en-US" w:eastAsia="pl-PL"/>
        </w:rPr>
        <w:t>Sensitivities-Based Method (“SBA”)</w:t>
      </w:r>
    </w:p>
    <w:p w:rsidR="00D05D57" w:rsidRPr="005277DC" w:rsidRDefault="00D05D57" w:rsidP="00D05D57">
      <w:pPr>
        <w:spacing w:after="100" w:afterAutospacing="1" w:line="240" w:lineRule="auto"/>
        <w:jc w:val="both"/>
        <w:rPr>
          <w:rFonts w:ascii="Helvetica" w:eastAsia="Times New Roman" w:hAnsi="Helvetica" w:cs="Helvetica"/>
          <w:i/>
          <w:color w:val="0A1B32"/>
          <w:sz w:val="27"/>
          <w:szCs w:val="27"/>
          <w:u w:val="single"/>
          <w:lang w:val="en-US" w:eastAsia="pl-PL"/>
        </w:rPr>
      </w:pPr>
      <w:r w:rsidRPr="005277DC">
        <w:rPr>
          <w:rFonts w:ascii="Helvetica" w:eastAsia="Times New Roman" w:hAnsi="Helvetica" w:cs="Helvetica"/>
          <w:b/>
          <w:i/>
          <w:color w:val="0A1B32"/>
          <w:sz w:val="27"/>
          <w:szCs w:val="27"/>
          <w:lang w:val="en-US" w:eastAsia="pl-PL"/>
        </w:rPr>
        <w:t xml:space="preserve">The SBA is a form of Parametric </w:t>
      </w:r>
      <w:proofErr w:type="spellStart"/>
      <w:r w:rsidRPr="005277DC">
        <w:rPr>
          <w:rFonts w:ascii="Helvetica" w:eastAsia="Times New Roman" w:hAnsi="Helvetica" w:cs="Helvetica"/>
          <w:b/>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w:t>
      </w:r>
      <w:r w:rsidRPr="005277DC">
        <w:rPr>
          <w:rFonts w:ascii="Helvetica" w:eastAsia="Times New Roman" w:hAnsi="Helvetica" w:cs="Helvetica"/>
          <w:b/>
          <w:i/>
          <w:color w:val="0A1B32"/>
          <w:sz w:val="27"/>
          <w:szCs w:val="27"/>
          <w:lang w:val="en-US" w:eastAsia="pl-PL"/>
        </w:rPr>
        <w:t>with regulatory weights and correlations</w:t>
      </w:r>
      <w:r w:rsidRPr="005277DC">
        <w:rPr>
          <w:rFonts w:ascii="Helvetica" w:eastAsia="Times New Roman" w:hAnsi="Helvetica" w:cs="Helvetica"/>
          <w:b/>
          <w:i/>
          <w:color w:val="0A1B32"/>
          <w:sz w:val="27"/>
          <w:szCs w:val="27"/>
          <w:u w:val="single"/>
          <w:lang w:val="en-US" w:eastAsia="pl-PL"/>
        </w:rPr>
        <w:t>.</w:t>
      </w:r>
      <w:r w:rsidRPr="005277DC">
        <w:rPr>
          <w:rFonts w:ascii="Helvetica" w:eastAsia="Times New Roman" w:hAnsi="Helvetica" w:cs="Helvetica"/>
          <w:i/>
          <w:color w:val="0A1B32"/>
          <w:sz w:val="27"/>
          <w:szCs w:val="27"/>
          <w:u w:val="single"/>
          <w:lang w:val="en-US" w:eastAsia="pl-PL"/>
        </w:rPr>
        <w:t xml:space="preserve">  Banks are required to compute risk factors (i.e., observable or measurable market data that is likely to influence the valuation and therefore the profit and loss (“P&amp;L”) generated by a financial instrument) sensitivities </w:t>
      </w:r>
      <w:r w:rsidRPr="005277DC">
        <w:rPr>
          <w:rFonts w:ascii="Helvetica" w:eastAsia="Times New Roman" w:hAnsi="Helvetica" w:cs="Helvetica"/>
          <w:i/>
          <w:color w:val="0A1B32"/>
          <w:sz w:val="27"/>
          <w:szCs w:val="27"/>
          <w:u w:val="single"/>
          <w:lang w:val="en-US" w:eastAsia="pl-PL"/>
        </w:rPr>
        <w:lastRenderedPageBreak/>
        <w:t>(Delta, Vega, and Curvature)[5] for seven regulatory defined risk classes.[6]  These risks are then aggregated across buckets, which are sets of instruments of the same risk class sharing the same characteristics and therefore a similar risk profile (a bucket may mean, in this context, a currency or commodities).  Moreover, to capture changes in correlations due to financial stresses, banks are required to use three different correlation scenarios (low, medium, and high) to calculate three separate risk charges for each of the regulatory defined risk classes.  Following the calculation methodology, the firm sums the all the risk class charges and then uses the largest as the SBA charge (see Figure 3 below for a visual representation of this proce</w:t>
      </w:r>
      <w:r w:rsidR="005277DC" w:rsidRPr="005277DC">
        <w:rPr>
          <w:rFonts w:ascii="Helvetica" w:eastAsia="Times New Roman" w:hAnsi="Helvetica" w:cs="Helvetica"/>
          <w:i/>
          <w:color w:val="0A1B32"/>
          <w:sz w:val="27"/>
          <w:szCs w:val="27"/>
          <w:u w:val="single"/>
          <w:lang w:val="en-US" w:eastAsia="pl-PL"/>
        </w:rPr>
        <w:t>ss).</w:t>
      </w:r>
    </w:p>
    <w:p w:rsidR="00D05D57" w:rsidRPr="005277D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5277DC">
        <w:rPr>
          <w:rFonts w:ascii="Helvetica" w:eastAsia="Times New Roman" w:hAnsi="Helvetica" w:cs="Helvetica"/>
          <w:b/>
          <w:i/>
          <w:color w:val="0A1B32"/>
          <w:sz w:val="27"/>
          <w:szCs w:val="27"/>
          <w:lang w:val="en-US" w:eastAsia="pl-PL"/>
        </w:rPr>
        <w:t>Default Risk Charge (“DRC”)</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framework includes a </w:t>
      </w:r>
      <w:r w:rsidRPr="005277DC">
        <w:rPr>
          <w:rFonts w:ascii="Helvetica" w:eastAsia="Times New Roman" w:hAnsi="Helvetica" w:cs="Helvetica"/>
          <w:b/>
          <w:i/>
          <w:color w:val="0A1B32"/>
          <w:sz w:val="27"/>
          <w:szCs w:val="27"/>
          <w:lang w:val="en-US" w:eastAsia="pl-PL"/>
        </w:rPr>
        <w:t>DRC to capture “jump-to-default risk” i.e., credit spread risk</w:t>
      </w:r>
      <w:r w:rsidRPr="00D05D57">
        <w:rPr>
          <w:rFonts w:ascii="Helvetica" w:eastAsia="Times New Roman" w:hAnsi="Helvetica" w:cs="Helvetica"/>
          <w:i/>
          <w:color w:val="0A1B32"/>
          <w:sz w:val="27"/>
          <w:szCs w:val="27"/>
          <w:lang w:val="en-US" w:eastAsia="pl-PL"/>
        </w:rPr>
        <w:t xml:space="preserve">.  </w:t>
      </w:r>
      <w:r w:rsidRPr="005277DC">
        <w:rPr>
          <w:rFonts w:ascii="Helvetica" w:eastAsia="Times New Roman" w:hAnsi="Helvetica" w:cs="Helvetica"/>
          <w:b/>
          <w:i/>
          <w:color w:val="0A1B32"/>
          <w:sz w:val="27"/>
          <w:szCs w:val="27"/>
          <w:lang w:val="en-US" w:eastAsia="pl-PL"/>
        </w:rPr>
        <w:t>Only certain portfolio types are exposed to this type of risk, so instead of seven risk classes under the SBA, the risk classes are reduced to three under the DRC: debt instruments, equity products, and securitizations.</w:t>
      </w:r>
      <w:r w:rsidRPr="00D05D57">
        <w:rPr>
          <w:rFonts w:ascii="Helvetica" w:eastAsia="Times New Roman" w:hAnsi="Helvetica" w:cs="Helvetica"/>
          <w:i/>
          <w:color w:val="0A1B32"/>
          <w:sz w:val="27"/>
          <w:szCs w:val="27"/>
          <w:lang w:val="en-US" w:eastAsia="pl-PL"/>
        </w:rPr>
        <w:t xml:space="preserve">  To determine the aggregate DRC, firms are required to apply differing risk weights, formulas, and expectations regarding netting across the three asset classes.</w:t>
      </w:r>
    </w:p>
    <w:p w:rsidR="00D05D57" w:rsidRPr="005277D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5277DC">
        <w:rPr>
          <w:rFonts w:ascii="Helvetica" w:eastAsia="Times New Roman" w:hAnsi="Helvetica" w:cs="Helvetica"/>
          <w:b/>
          <w:i/>
          <w:color w:val="0A1B32"/>
          <w:sz w:val="27"/>
          <w:szCs w:val="27"/>
          <w:lang w:val="en-US" w:eastAsia="pl-PL"/>
        </w:rPr>
        <w:t>Residual Risk Add-on (“RRA”)</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final component of the SA is the RRA, which is designed to </w:t>
      </w:r>
      <w:r w:rsidRPr="005277DC">
        <w:rPr>
          <w:rFonts w:ascii="Helvetica" w:eastAsia="Times New Roman" w:hAnsi="Helvetica" w:cs="Helvetica"/>
          <w:b/>
          <w:i/>
          <w:color w:val="0A1B32"/>
          <w:sz w:val="27"/>
          <w:szCs w:val="27"/>
          <w:lang w:val="en-US" w:eastAsia="pl-PL"/>
        </w:rPr>
        <w:t>capitalize exposures that are not adequately captured by the SBA</w:t>
      </w:r>
      <w:r w:rsidRPr="00D05D57">
        <w:rPr>
          <w:rFonts w:ascii="Helvetica" w:eastAsia="Times New Roman" w:hAnsi="Helvetica" w:cs="Helvetica"/>
          <w:i/>
          <w:color w:val="0A1B32"/>
          <w:sz w:val="27"/>
          <w:szCs w:val="27"/>
          <w:lang w:val="en-US" w:eastAsia="pl-PL"/>
        </w:rPr>
        <w:t xml:space="preserve">.  Generally, this charge is applied to </w:t>
      </w:r>
      <w:r w:rsidRPr="005277DC">
        <w:rPr>
          <w:rFonts w:ascii="Helvetica" w:eastAsia="Times New Roman" w:hAnsi="Helvetica" w:cs="Helvetica"/>
          <w:b/>
          <w:i/>
          <w:color w:val="0A1B32"/>
          <w:sz w:val="27"/>
          <w:szCs w:val="27"/>
          <w:lang w:val="en-US" w:eastAsia="pl-PL"/>
        </w:rPr>
        <w:t xml:space="preserve">more complex transactions where the exposure is difficult to quantify (e.g., products in incomplete markets, products having correlation risk). </w:t>
      </w:r>
      <w:r w:rsidRPr="00D05D57">
        <w:rPr>
          <w:rFonts w:ascii="Helvetica" w:eastAsia="Times New Roman" w:hAnsi="Helvetica" w:cs="Helvetica"/>
          <w:i/>
          <w:color w:val="0A1B32"/>
          <w:sz w:val="27"/>
          <w:szCs w:val="27"/>
          <w:lang w:val="en-US" w:eastAsia="pl-PL"/>
        </w:rPr>
        <w:t xml:space="preserve"> The methodology applies a simplistic formula that aggregates all residual instruments’ gross notional amount multiplied by a risk weight of 0.1 percent of or in the case of exotic (i.e., highly complex) instruments, 1.0 percent.</w:t>
      </w:r>
    </w:p>
    <w:p w:rsidR="00D05D57" w:rsidRPr="005277D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5277DC">
        <w:rPr>
          <w:rFonts w:ascii="Helvetica" w:eastAsia="Times New Roman" w:hAnsi="Helvetica" w:cs="Helvetica"/>
          <w:b/>
          <w:i/>
          <w:color w:val="0A1B32"/>
          <w:sz w:val="27"/>
          <w:szCs w:val="27"/>
          <w:lang w:val="en-US" w:eastAsia="pl-PL"/>
        </w:rPr>
        <w:t>The Internal Models Approach (IMA)</w:t>
      </w:r>
    </w:p>
    <w:p w:rsidR="00D05D57" w:rsidRPr="005277D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IMA fundamentally changes the approach to modeling market risk by reforming the measurement methodology and expanding model performance requirements.  Most importantly, IMA replaces the long standing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-based approach for quantifying market risk with an Expected Shortfall (“ES”) approach.  As noted above, </w:t>
      </w:r>
      <w:r w:rsidRPr="005277DC">
        <w:rPr>
          <w:rFonts w:ascii="Helvetica" w:eastAsia="Times New Roman" w:hAnsi="Helvetica" w:cs="Helvetica"/>
          <w:b/>
          <w:i/>
          <w:color w:val="0A1B32"/>
          <w:sz w:val="27"/>
          <w:szCs w:val="27"/>
          <w:lang w:val="en-US" w:eastAsia="pl-PL"/>
        </w:rPr>
        <w:t xml:space="preserve">while </w:t>
      </w:r>
      <w:proofErr w:type="spellStart"/>
      <w:r w:rsidRPr="005277DC">
        <w:rPr>
          <w:rFonts w:ascii="Helvetica" w:eastAsia="Times New Roman" w:hAnsi="Helvetica" w:cs="Helvetica"/>
          <w:b/>
          <w:i/>
          <w:color w:val="0A1B32"/>
          <w:sz w:val="27"/>
          <w:szCs w:val="27"/>
          <w:lang w:val="en-US" w:eastAsia="pl-PL"/>
        </w:rPr>
        <w:t>VaR</w:t>
      </w:r>
      <w:proofErr w:type="spellEnd"/>
      <w:r w:rsidRPr="005277DC">
        <w:rPr>
          <w:rFonts w:ascii="Helvetica" w:eastAsia="Times New Roman" w:hAnsi="Helvetica" w:cs="Helvetica"/>
          <w:b/>
          <w:i/>
          <w:color w:val="0A1B32"/>
          <w:sz w:val="27"/>
          <w:szCs w:val="27"/>
          <w:lang w:val="en-US" w:eastAsia="pl-PL"/>
        </w:rPr>
        <w:t xml:space="preserve"> does a good job of capturing risk in normal markets, an ES approach is more effective in capturing the “fatter tail” distributions of risk typical of stressed markets when multiple asset classes move in tandem.</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 xml:space="preserve">The IMA also </w:t>
      </w:r>
      <w:r w:rsidRPr="005277DC">
        <w:rPr>
          <w:rFonts w:ascii="Helvetica" w:eastAsia="Times New Roman" w:hAnsi="Helvetica" w:cs="Helvetica"/>
          <w:b/>
          <w:i/>
          <w:color w:val="0A1B32"/>
          <w:sz w:val="27"/>
          <w:szCs w:val="27"/>
          <w:lang w:val="en-US" w:eastAsia="pl-PL"/>
        </w:rPr>
        <w:t>removes the Incremental Risk Charge introduced in Basel 2.5 and replaces it with a Default Risk Charge</w:t>
      </w:r>
      <w:r w:rsidRPr="00D05D57">
        <w:rPr>
          <w:rFonts w:ascii="Helvetica" w:eastAsia="Times New Roman" w:hAnsi="Helvetica" w:cs="Helvetica"/>
          <w:i/>
          <w:color w:val="0A1B32"/>
          <w:sz w:val="27"/>
          <w:szCs w:val="27"/>
          <w:lang w:val="en-US" w:eastAsia="pl-PL"/>
        </w:rPr>
        <w:t xml:space="preserve"> (referred to here as an “IMA DRC”), which acts (as it does under the SA) to capture losses that stem from </w:t>
      </w:r>
      <w:r w:rsidRPr="005277DC">
        <w:rPr>
          <w:rFonts w:ascii="Helvetica" w:eastAsia="Times New Roman" w:hAnsi="Helvetica" w:cs="Helvetica"/>
          <w:b/>
          <w:i/>
          <w:color w:val="0A1B32"/>
          <w:sz w:val="27"/>
          <w:szCs w:val="27"/>
          <w:lang w:val="en-US" w:eastAsia="pl-PL"/>
        </w:rPr>
        <w:t xml:space="preserve">an </w:t>
      </w:r>
      <w:proofErr w:type="spellStart"/>
      <w:r w:rsidRPr="005277DC">
        <w:rPr>
          <w:rFonts w:ascii="Helvetica" w:eastAsia="Times New Roman" w:hAnsi="Helvetica" w:cs="Helvetica"/>
          <w:b/>
          <w:i/>
          <w:color w:val="0A1B32"/>
          <w:sz w:val="27"/>
          <w:szCs w:val="27"/>
          <w:lang w:val="en-US" w:eastAsia="pl-PL"/>
        </w:rPr>
        <w:t>obliger</w:t>
      </w:r>
      <w:proofErr w:type="spellEnd"/>
      <w:r w:rsidRPr="005277DC">
        <w:rPr>
          <w:rFonts w:ascii="Helvetica" w:eastAsia="Times New Roman" w:hAnsi="Helvetica" w:cs="Helvetica"/>
          <w:b/>
          <w:i/>
          <w:color w:val="0A1B32"/>
          <w:sz w:val="27"/>
          <w:szCs w:val="27"/>
          <w:lang w:val="en-US" w:eastAsia="pl-PL"/>
        </w:rPr>
        <w:t xml:space="preserve"> defaulting</w:t>
      </w:r>
      <w:r w:rsidRPr="00D05D57">
        <w:rPr>
          <w:rFonts w:ascii="Helvetica" w:eastAsia="Times New Roman" w:hAnsi="Helvetica" w:cs="Helvetica"/>
          <w:i/>
          <w:color w:val="0A1B32"/>
          <w:sz w:val="27"/>
          <w:szCs w:val="27"/>
          <w:lang w:val="en-US" w:eastAsia="pl-PL"/>
        </w:rPr>
        <w:t xml:space="preserve">.  It places </w:t>
      </w:r>
      <w:r w:rsidRPr="005277DC">
        <w:rPr>
          <w:rFonts w:ascii="Helvetica" w:eastAsia="Times New Roman" w:hAnsi="Helvetica" w:cs="Helvetica"/>
          <w:b/>
          <w:i/>
          <w:color w:val="0A1B32"/>
          <w:sz w:val="27"/>
          <w:szCs w:val="27"/>
          <w:lang w:val="en-US" w:eastAsia="pl-PL"/>
        </w:rPr>
        <w:t>limits on the benefits of hedging, netting and diversification and no longer permits correlation trading positions capital to be estimated with internal models</w:t>
      </w:r>
      <w:r w:rsidRPr="00D05D57">
        <w:rPr>
          <w:rFonts w:ascii="Helvetica" w:eastAsia="Times New Roman" w:hAnsi="Helvetica" w:cs="Helvetica"/>
          <w:i/>
          <w:color w:val="0A1B32"/>
          <w:sz w:val="27"/>
          <w:szCs w:val="27"/>
          <w:lang w:val="en-US" w:eastAsia="pl-PL"/>
        </w:rPr>
        <w:t>.  Lastly, the framework implements asset class-specific liquidity horizons which more rigorously incorporates the impact of stress periods; and introduces the concept and approach for non-</w:t>
      </w:r>
      <w:proofErr w:type="spellStart"/>
      <w:r w:rsidRPr="00D05D57">
        <w:rPr>
          <w:rFonts w:ascii="Helvetica" w:eastAsia="Times New Roman" w:hAnsi="Helvetica" w:cs="Helvetica"/>
          <w:i/>
          <w:color w:val="0A1B32"/>
          <w:sz w:val="27"/>
          <w:szCs w:val="27"/>
          <w:lang w:val="en-US" w:eastAsia="pl-PL"/>
        </w:rPr>
        <w:t>modellable</w:t>
      </w:r>
      <w:proofErr w:type="spellEnd"/>
      <w:r w:rsidRPr="00D05D57">
        <w:rPr>
          <w:rFonts w:ascii="Helvetica" w:eastAsia="Times New Roman" w:hAnsi="Helvetica" w:cs="Helvetica"/>
          <w:i/>
          <w:color w:val="0A1B32"/>
          <w:sz w:val="27"/>
          <w:szCs w:val="27"/>
          <w:lang w:val="en-US" w:eastAsia="pl-PL"/>
        </w:rPr>
        <w:t xml:space="preserve"> risk factors.</w:t>
      </w:r>
    </w:p>
    <w:p w:rsidR="00D05D57" w:rsidRPr="005277D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use of internal models and their on-going performance is subject to considerable supervisory scrutiny under the FRTB as well as subject to quantitative requirements.  Internal models are also now subject to regulatory approval at the trading desk level. </w:t>
      </w:r>
      <w:r w:rsidRPr="005277DC">
        <w:rPr>
          <w:rFonts w:ascii="Helvetica" w:eastAsia="Times New Roman" w:hAnsi="Helvetica" w:cs="Helvetica"/>
          <w:b/>
          <w:i/>
          <w:color w:val="0A1B32"/>
          <w:sz w:val="27"/>
          <w:szCs w:val="27"/>
          <w:lang w:val="en-US" w:eastAsia="pl-PL"/>
        </w:rPr>
        <w:t>For a desk to qualify for IMA, they must demonstrate that a model is supported by adequate P&amp;L attribution tests and back testing results.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P&amp;L attribution is not a new concept to market risk management; however, it is new to the capital framework in the level of specificity that is included in the new framework</w:t>
      </w:r>
      <w:r w:rsidRPr="005277DC">
        <w:rPr>
          <w:rFonts w:ascii="Helvetica" w:eastAsia="Times New Roman" w:hAnsi="Helvetica" w:cs="Helvetica"/>
          <w:b/>
          <w:i/>
          <w:color w:val="0A1B32"/>
          <w:sz w:val="27"/>
          <w:szCs w:val="27"/>
          <w:lang w:val="en-US" w:eastAsia="pl-PL"/>
        </w:rPr>
        <w:t>.  For initial and continued approval, the framework requires daily comparison and analysis of P&amp;L statements generated by a bank’s front-office, also known as hypothetical P&amp;L (“HPL”), with the results produced by middle/back office, also known as risk-theoretical P&amp;L</w:t>
      </w:r>
      <w:r w:rsidRPr="00D05D57">
        <w:rPr>
          <w:rFonts w:ascii="Helvetica" w:eastAsia="Times New Roman" w:hAnsi="Helvetica" w:cs="Helvetica"/>
          <w:i/>
          <w:color w:val="0A1B32"/>
          <w:sz w:val="27"/>
          <w:szCs w:val="27"/>
          <w:lang w:val="en-US" w:eastAsia="pl-PL"/>
        </w:rPr>
        <w:t>.  The framework applies quantitative limitations on the amount of unexplained P&amp;L and the variability of the unexplained between the two systems.  Failure to meet those requirements results in loss of IMA approval and application of the standardized approach.</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Bank testing requirements are equally stringent.  The framework requires a comparison of the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measure calibrated to a one-day holding period against each of the Actual P&amp;L (“APL”) and HPL over the prior 12 months.  Specific requirements to be applied at the bank-wide level and trading desk level are set out by the BCBS and back testing of the bank-wide risk model must be based on a </w:t>
      </w:r>
      <w:proofErr w:type="spellStart"/>
      <w:r w:rsidRPr="005277DC">
        <w:rPr>
          <w:rFonts w:ascii="Helvetica" w:eastAsia="Times New Roman" w:hAnsi="Helvetica" w:cs="Helvetica"/>
          <w:b/>
          <w:i/>
          <w:color w:val="0A1B32"/>
          <w:sz w:val="27"/>
          <w:szCs w:val="27"/>
          <w:lang w:val="en-US" w:eastAsia="pl-PL"/>
        </w:rPr>
        <w:t>VaR</w:t>
      </w:r>
      <w:proofErr w:type="spellEnd"/>
      <w:r w:rsidRPr="005277DC">
        <w:rPr>
          <w:rFonts w:ascii="Helvetica" w:eastAsia="Times New Roman" w:hAnsi="Helvetica" w:cs="Helvetica"/>
          <w:b/>
          <w:i/>
          <w:color w:val="0A1B32"/>
          <w:sz w:val="27"/>
          <w:szCs w:val="27"/>
          <w:lang w:val="en-US" w:eastAsia="pl-PL"/>
        </w:rPr>
        <w:t xml:space="preserve"> measure calibrated at a 99th percentile confidence level.</w:t>
      </w:r>
      <w:r w:rsidRPr="00D05D57">
        <w:rPr>
          <w:rFonts w:ascii="Helvetica" w:eastAsia="Times New Roman" w:hAnsi="Helvetica" w:cs="Helvetica"/>
          <w:i/>
          <w:color w:val="0A1B32"/>
          <w:sz w:val="27"/>
          <w:szCs w:val="27"/>
          <w:lang w:val="en-US" w:eastAsia="pl-PL"/>
        </w:rPr>
        <w:t xml:space="preserve">  Finally, the scope of the portfolio subject to bank-wide back testing must be updated quarterly based on the results of the latest trading desk-level back testing, risk factor eligibility and P&amp;L attribution tests.  Again, failure to meet the performance requirements will result in the loss of IMA status.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In short, these new requirements make qualifying for use of IMA an extraordinarily difficult and resource intensive exercise.  For those trading desks that do succeed in obtaining approval to use this approach, there are three components that are used to calculate the IMA capital charge: Expected Shortfall or ES; </w:t>
      </w:r>
      <w:proofErr w:type="spellStart"/>
      <w:r w:rsidRPr="00D05D57">
        <w:rPr>
          <w:rFonts w:ascii="Helvetica" w:eastAsia="Times New Roman" w:hAnsi="Helvetica" w:cs="Helvetica"/>
          <w:i/>
          <w:color w:val="0A1B32"/>
          <w:sz w:val="27"/>
          <w:szCs w:val="27"/>
          <w:lang w:val="en-US" w:eastAsia="pl-PL"/>
        </w:rPr>
        <w:t>modellable</w:t>
      </w:r>
      <w:proofErr w:type="spellEnd"/>
      <w:r w:rsidRPr="00D05D57">
        <w:rPr>
          <w:rFonts w:ascii="Helvetica" w:eastAsia="Times New Roman" w:hAnsi="Helvetica" w:cs="Helvetica"/>
          <w:i/>
          <w:color w:val="0A1B32"/>
          <w:sz w:val="27"/>
          <w:szCs w:val="27"/>
          <w:lang w:val="en-US" w:eastAsia="pl-PL"/>
        </w:rPr>
        <w:t xml:space="preserve"> risks and non-</w:t>
      </w:r>
      <w:proofErr w:type="spellStart"/>
      <w:r w:rsidRPr="00D05D57">
        <w:rPr>
          <w:rFonts w:ascii="Helvetica" w:eastAsia="Times New Roman" w:hAnsi="Helvetica" w:cs="Helvetica"/>
          <w:i/>
          <w:color w:val="0A1B32"/>
          <w:sz w:val="27"/>
          <w:szCs w:val="27"/>
          <w:lang w:val="en-US" w:eastAsia="pl-PL"/>
        </w:rPr>
        <w:t>modellable</w:t>
      </w:r>
      <w:proofErr w:type="spellEnd"/>
      <w:r w:rsidRPr="00D05D57">
        <w:rPr>
          <w:rFonts w:ascii="Helvetica" w:eastAsia="Times New Roman" w:hAnsi="Helvetica" w:cs="Helvetica"/>
          <w:i/>
          <w:color w:val="0A1B32"/>
          <w:sz w:val="27"/>
          <w:szCs w:val="27"/>
          <w:lang w:val="en-US" w:eastAsia="pl-PL"/>
        </w:rPr>
        <w:t xml:space="preserve"> risks; and a </w:t>
      </w:r>
      <w:r w:rsidRPr="00D05D57">
        <w:rPr>
          <w:rFonts w:ascii="Helvetica" w:eastAsia="Times New Roman" w:hAnsi="Helvetica" w:cs="Helvetica"/>
          <w:i/>
          <w:color w:val="0A1B32"/>
          <w:sz w:val="27"/>
          <w:szCs w:val="27"/>
          <w:lang w:val="en-US" w:eastAsia="pl-PL"/>
        </w:rPr>
        <w:lastRenderedPageBreak/>
        <w:t>default risk charge.  For desks where the bank cannot or chooses not to pursue IMA qualification, they must calculate capital charges using the SA.</w:t>
      </w:r>
    </w:p>
    <w:p w:rsidR="00D05D57" w:rsidRPr="005277D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5277DC">
        <w:rPr>
          <w:rFonts w:ascii="Helvetica" w:eastAsia="Times New Roman" w:hAnsi="Helvetica" w:cs="Helvetica"/>
          <w:b/>
          <w:i/>
          <w:color w:val="0A1B32"/>
          <w:sz w:val="27"/>
          <w:szCs w:val="27"/>
          <w:lang w:val="en-US" w:eastAsia="pl-PL"/>
        </w:rPr>
        <w:t>Expected Shortfall (“ES”) Method</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w:t>
      </w:r>
      <w:r w:rsidRPr="005277DC">
        <w:rPr>
          <w:rFonts w:ascii="Helvetica" w:eastAsia="Times New Roman" w:hAnsi="Helvetica" w:cs="Helvetica"/>
          <w:b/>
          <w:i/>
          <w:color w:val="0A1B32"/>
          <w:sz w:val="27"/>
          <w:szCs w:val="27"/>
          <w:lang w:val="en-US" w:eastAsia="pl-PL"/>
        </w:rPr>
        <w:t xml:space="preserve">ES and </w:t>
      </w:r>
      <w:proofErr w:type="spellStart"/>
      <w:r w:rsidRPr="005277DC">
        <w:rPr>
          <w:rFonts w:ascii="Helvetica" w:eastAsia="Times New Roman" w:hAnsi="Helvetica" w:cs="Helvetica"/>
          <w:b/>
          <w:i/>
          <w:color w:val="0A1B32"/>
          <w:sz w:val="27"/>
          <w:szCs w:val="27"/>
          <w:lang w:val="en-US" w:eastAsia="pl-PL"/>
        </w:rPr>
        <w:t>VaR</w:t>
      </w:r>
      <w:proofErr w:type="spellEnd"/>
      <w:r w:rsidRPr="005277DC">
        <w:rPr>
          <w:rFonts w:ascii="Helvetica" w:eastAsia="Times New Roman" w:hAnsi="Helvetica" w:cs="Helvetica"/>
          <w:b/>
          <w:i/>
          <w:color w:val="0A1B32"/>
          <w:sz w:val="27"/>
          <w:szCs w:val="27"/>
          <w:lang w:val="en-US" w:eastAsia="pl-PL"/>
        </w:rPr>
        <w:t xml:space="preserve"> are both used to measure portfolio risk</w:t>
      </w:r>
      <w:r w:rsidRPr="00D05D57">
        <w:rPr>
          <w:rFonts w:ascii="Helvetica" w:eastAsia="Times New Roman" w:hAnsi="Helvetica" w:cs="Helvetica"/>
          <w:i/>
          <w:color w:val="0A1B32"/>
          <w:sz w:val="27"/>
          <w:szCs w:val="27"/>
          <w:lang w:val="en-US" w:eastAsia="pl-PL"/>
        </w:rPr>
        <w:t xml:space="preserve">.  However, the ES is a significantly more conservative measure, since it measures the expected value of all changes in the portfolio value in the tail of the P&amp;L distribution that exceed the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w:t>
      </w:r>
      <w:r w:rsidRPr="005277DC">
        <w:rPr>
          <w:rFonts w:ascii="Helvetica" w:eastAsia="Times New Roman" w:hAnsi="Helvetica" w:cs="Helvetica"/>
          <w:b/>
          <w:i/>
          <w:color w:val="0A1B32"/>
          <w:sz w:val="27"/>
          <w:szCs w:val="27"/>
          <w:lang w:val="en-US" w:eastAsia="pl-PL"/>
        </w:rPr>
        <w:t xml:space="preserve">To account for this additional conservatism, the BCBS lowered the confidence interval from 99 percent requirement under the </w:t>
      </w:r>
      <w:proofErr w:type="spellStart"/>
      <w:r w:rsidRPr="005277DC">
        <w:rPr>
          <w:rFonts w:ascii="Helvetica" w:eastAsia="Times New Roman" w:hAnsi="Helvetica" w:cs="Helvetica"/>
          <w:b/>
          <w:i/>
          <w:color w:val="0A1B32"/>
          <w:sz w:val="27"/>
          <w:szCs w:val="27"/>
          <w:lang w:val="en-US" w:eastAsia="pl-PL"/>
        </w:rPr>
        <w:t>VaR</w:t>
      </w:r>
      <w:proofErr w:type="spellEnd"/>
      <w:r w:rsidRPr="005277DC">
        <w:rPr>
          <w:rFonts w:ascii="Helvetica" w:eastAsia="Times New Roman" w:hAnsi="Helvetica" w:cs="Helvetica"/>
          <w:b/>
          <w:i/>
          <w:color w:val="0A1B32"/>
          <w:sz w:val="27"/>
          <w:szCs w:val="27"/>
          <w:lang w:val="en-US" w:eastAsia="pl-PL"/>
        </w:rPr>
        <w:t xml:space="preserve"> approach to 97.5 percent under the ES</w:t>
      </w:r>
      <w:r w:rsidRPr="00D05D57">
        <w:rPr>
          <w:rFonts w:ascii="Helvetica" w:eastAsia="Times New Roman" w:hAnsi="Helvetica" w:cs="Helvetica"/>
          <w:i/>
          <w:color w:val="0A1B32"/>
          <w:sz w:val="27"/>
          <w:szCs w:val="27"/>
          <w:lang w:val="en-US" w:eastAsia="pl-PL"/>
        </w:rPr>
        <w:t xml:space="preserve">.  </w:t>
      </w:r>
      <w:r w:rsidRPr="005277DC">
        <w:rPr>
          <w:rFonts w:ascii="Helvetica" w:eastAsia="Times New Roman" w:hAnsi="Helvetica" w:cs="Helvetica"/>
          <w:b/>
          <w:i/>
          <w:color w:val="0A1B32"/>
          <w:sz w:val="27"/>
          <w:szCs w:val="27"/>
          <w:lang w:val="en-US" w:eastAsia="pl-PL"/>
        </w:rPr>
        <w:t>Additionally, the ES must be calculated for a maximum stress period over the bank’s total history of observations verses the current look back</w:t>
      </w:r>
      <w:r w:rsidRPr="00D05D57">
        <w:rPr>
          <w:rFonts w:ascii="Helvetica" w:eastAsia="Times New Roman" w:hAnsi="Helvetica" w:cs="Helvetica"/>
          <w:i/>
          <w:color w:val="0A1B32"/>
          <w:sz w:val="27"/>
          <w:szCs w:val="27"/>
          <w:lang w:val="en-US" w:eastAsia="pl-PL"/>
        </w:rPr>
        <w:t xml:space="preserve"> </w:t>
      </w:r>
      <w:r w:rsidRPr="005277DC">
        <w:rPr>
          <w:rFonts w:ascii="Helvetica" w:eastAsia="Times New Roman" w:hAnsi="Helvetica" w:cs="Helvetica"/>
          <w:b/>
          <w:i/>
          <w:color w:val="0A1B32"/>
          <w:sz w:val="27"/>
          <w:szCs w:val="27"/>
          <w:lang w:val="en-US" w:eastAsia="pl-PL"/>
        </w:rPr>
        <w:t>period of one year or 270 days</w:t>
      </w:r>
      <w:r w:rsidRPr="00D05D57">
        <w:rPr>
          <w:rFonts w:ascii="Helvetica" w:eastAsia="Times New Roman" w:hAnsi="Helvetica" w:cs="Helvetica"/>
          <w:i/>
          <w:color w:val="0A1B32"/>
          <w:sz w:val="27"/>
          <w:szCs w:val="27"/>
          <w:lang w:val="en-US" w:eastAsia="pl-PL"/>
        </w:rPr>
        <w:t xml:space="preserve">. </w:t>
      </w:r>
      <w:r w:rsidRPr="005277DC">
        <w:rPr>
          <w:rFonts w:ascii="Helvetica" w:eastAsia="Times New Roman" w:hAnsi="Helvetica" w:cs="Helvetica"/>
          <w:i/>
          <w:color w:val="0A1B32"/>
          <w:sz w:val="27"/>
          <w:szCs w:val="27"/>
          <w:u w:val="single"/>
          <w:lang w:val="en-US" w:eastAsia="pl-PL"/>
        </w:rPr>
        <w:t xml:space="preserve"> Consequently, this approach, while superior to </w:t>
      </w:r>
      <w:proofErr w:type="spellStart"/>
      <w:r w:rsidRPr="005277DC">
        <w:rPr>
          <w:rFonts w:ascii="Helvetica" w:eastAsia="Times New Roman" w:hAnsi="Helvetica" w:cs="Helvetica"/>
          <w:i/>
          <w:color w:val="0A1B32"/>
          <w:sz w:val="27"/>
          <w:szCs w:val="27"/>
          <w:u w:val="single"/>
          <w:lang w:val="en-US" w:eastAsia="pl-PL"/>
        </w:rPr>
        <w:t>VaR</w:t>
      </w:r>
      <w:proofErr w:type="spellEnd"/>
      <w:r w:rsidRPr="005277DC">
        <w:rPr>
          <w:rFonts w:ascii="Helvetica" w:eastAsia="Times New Roman" w:hAnsi="Helvetica" w:cs="Helvetica"/>
          <w:i/>
          <w:color w:val="0A1B32"/>
          <w:sz w:val="27"/>
          <w:szCs w:val="27"/>
          <w:u w:val="single"/>
          <w:lang w:val="en-US" w:eastAsia="pl-PL"/>
        </w:rPr>
        <w:t xml:space="preserve"> for capturing tail risk, is also far more data and resource intensive.</w:t>
      </w:r>
    </w:p>
    <w:p w:rsidR="00D05D57" w:rsidRPr="005277D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proofErr w:type="spellStart"/>
      <w:r w:rsidRPr="005277DC">
        <w:rPr>
          <w:rFonts w:ascii="Helvetica" w:eastAsia="Times New Roman" w:hAnsi="Helvetica" w:cs="Helvetica"/>
          <w:b/>
          <w:i/>
          <w:color w:val="0A1B32"/>
          <w:sz w:val="27"/>
          <w:szCs w:val="27"/>
          <w:lang w:val="en-US" w:eastAsia="pl-PL"/>
        </w:rPr>
        <w:t>Modellable</w:t>
      </w:r>
      <w:proofErr w:type="spellEnd"/>
      <w:r w:rsidRPr="005277DC">
        <w:rPr>
          <w:rFonts w:ascii="Helvetica" w:eastAsia="Times New Roman" w:hAnsi="Helvetica" w:cs="Helvetica"/>
          <w:b/>
          <w:i/>
          <w:color w:val="0A1B32"/>
          <w:sz w:val="27"/>
          <w:szCs w:val="27"/>
          <w:lang w:val="en-US" w:eastAsia="pl-PL"/>
        </w:rPr>
        <w:t xml:space="preserve"> and Non-</w:t>
      </w:r>
      <w:proofErr w:type="spellStart"/>
      <w:r w:rsidRPr="005277DC">
        <w:rPr>
          <w:rFonts w:ascii="Helvetica" w:eastAsia="Times New Roman" w:hAnsi="Helvetica" w:cs="Helvetica"/>
          <w:b/>
          <w:i/>
          <w:color w:val="0A1B32"/>
          <w:sz w:val="27"/>
          <w:szCs w:val="27"/>
          <w:lang w:val="en-US" w:eastAsia="pl-PL"/>
        </w:rPr>
        <w:t>Modellable</w:t>
      </w:r>
      <w:proofErr w:type="spellEnd"/>
      <w:r w:rsidRPr="005277DC">
        <w:rPr>
          <w:rFonts w:ascii="Helvetica" w:eastAsia="Times New Roman" w:hAnsi="Helvetica" w:cs="Helvetica"/>
          <w:b/>
          <w:i/>
          <w:color w:val="0A1B32"/>
          <w:sz w:val="27"/>
          <w:szCs w:val="27"/>
          <w:lang w:val="en-US" w:eastAsia="pl-PL"/>
        </w:rPr>
        <w:t xml:space="preserve"> Risk Factors (“NMRF”)</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The path to determining the capital charge under the IMA is dependent on the ability of a firm to model risk factors.  A risk factor’s model-ability is determined by a series of quantitative criteria regarding the frequency, observability, and durability of a risk factor’s pricing information.  Importantly, the firm must continually assess the eligibility of these risk factors to be included in the IMA models.  If a firm cannot or no longer can support the model-ability of a risk factor, the firm must apply a capital add on which is calibrated under a stress scenario. Instances of NMRF are more likely in more thinly traded and less liquid markets, and the issue of how NMRF are defined continues to be a subject of significant debate (and will be discussed in a future blog).</w:t>
      </w:r>
    </w:p>
    <w:p w:rsidR="00D05D57" w:rsidRPr="005277D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5277DC">
        <w:rPr>
          <w:rFonts w:ascii="Helvetica" w:eastAsia="Times New Roman" w:hAnsi="Helvetica" w:cs="Helvetica"/>
          <w:b/>
          <w:i/>
          <w:color w:val="0A1B32"/>
          <w:sz w:val="27"/>
          <w:szCs w:val="27"/>
          <w:lang w:val="en-US" w:eastAsia="pl-PL"/>
        </w:rPr>
        <w:t>IMA Default Risk Charge (“IMA DRC”)</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While migration risk is captured in ES, the IMA framework separately capitalizes default risk. The IMA DRC replaces the Incremental Risk Charge and will apply to credit positions as well as equity positions.  The IMA DRC will also include a floor for the probability of default.</w:t>
      </w:r>
    </w:p>
    <w:p w:rsidR="00D05D57" w:rsidRPr="005277D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5277DC">
        <w:rPr>
          <w:rFonts w:ascii="Helvetica" w:eastAsia="Times New Roman" w:hAnsi="Helvetica" w:cs="Helvetica"/>
          <w:b/>
          <w:i/>
          <w:color w:val="0A1B32"/>
          <w:sz w:val="27"/>
          <w:szCs w:val="27"/>
          <w:lang w:val="en-US" w:eastAsia="pl-PL"/>
        </w:rPr>
        <w:t>Conclusion</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FRTB represents a sweeping overhaul of the way banks calculate their trading risk capital charges and will have wide ranging impacts on the business models of banking organizations and funding markets for many years to come. As U.S. regulators move closer to a proposed rulemaking, we will release a series of blogs on some important outstanding issues that still </w:t>
      </w:r>
      <w:r w:rsidRPr="00D05D57">
        <w:rPr>
          <w:rFonts w:ascii="Helvetica" w:eastAsia="Times New Roman" w:hAnsi="Helvetica" w:cs="Helvetica"/>
          <w:i/>
          <w:color w:val="0A1B32"/>
          <w:sz w:val="27"/>
          <w:szCs w:val="27"/>
          <w:lang w:val="en-US" w:eastAsia="pl-PL"/>
        </w:rPr>
        <w:lastRenderedPageBreak/>
        <w:t>need to be addressed prior to implementation. These include ongoing concerns around the design of the P&amp;L attribution tests, the NMRF framework, and the interaction between the FRTB and other existing domestic capital requirements.</w:t>
      </w:r>
    </w:p>
    <w:p w:rsidR="00D05D57" w:rsidRPr="005277DC"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5277DC">
        <w:rPr>
          <w:rFonts w:ascii="Helvetica" w:eastAsia="Times New Roman" w:hAnsi="Helvetica" w:cs="Helvetica"/>
          <w:b/>
          <w:i/>
          <w:color w:val="0A1B32"/>
          <w:sz w:val="27"/>
          <w:szCs w:val="27"/>
          <w:lang w:val="en-US" w:eastAsia="pl-PL"/>
        </w:rPr>
        <w:t>46. How could the Basel III treatment of trading books be improved?</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Shortcomings of previous regime:</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 xml:space="preserve">1. Shortcomings of the framework exposed by the financial crisis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recent crisis exposed material weaknesses in the capital treatment of banks’ trading activities. Some of the most pressing deficiencies of the trading book regime were addressed by the July 2009 revisions to the market risk framework, while others have been dealt with as part of Basel III. However, the Committee has agreed that a number of the market risk framework’s fundamental shortcomings remain unaddressed and require further attention. The Committee has agreed that the future trading book regime must address the weaknesses set out below, which are discussed in more detail in Annex 1. The crisis and pre-crisis experience highlighted a number of shortcomings in the trading book regime. These can be broadly </w:t>
      </w:r>
      <w:proofErr w:type="spellStart"/>
      <w:r w:rsidRPr="00D05D57">
        <w:rPr>
          <w:rFonts w:ascii="Helvetica" w:eastAsia="Times New Roman" w:hAnsi="Helvetica" w:cs="Helvetica"/>
          <w:i/>
          <w:color w:val="0A1B32"/>
          <w:sz w:val="27"/>
          <w:szCs w:val="27"/>
          <w:lang w:val="en-US" w:eastAsia="pl-PL"/>
        </w:rPr>
        <w:t>categorised</w:t>
      </w:r>
      <w:proofErr w:type="spellEnd"/>
      <w:r w:rsidRPr="00D05D57">
        <w:rPr>
          <w:rFonts w:ascii="Helvetica" w:eastAsia="Times New Roman" w:hAnsi="Helvetica" w:cs="Helvetica"/>
          <w:i/>
          <w:color w:val="0A1B32"/>
          <w:sz w:val="27"/>
          <w:szCs w:val="27"/>
          <w:lang w:val="en-US" w:eastAsia="pl-PL"/>
        </w:rPr>
        <w:t xml:space="preserve"> into weaknesses arising from:</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(a) The overall design of the regulatory capital framework, especially the inclusion of instruments exposed to credit risk in the trading book;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(b) The risk measurement methodologies used under the models-based and </w:t>
      </w:r>
      <w:proofErr w:type="spellStart"/>
      <w:r w:rsidRPr="00D05D57">
        <w:rPr>
          <w:rFonts w:ascii="Helvetica" w:eastAsia="Times New Roman" w:hAnsi="Helvetica" w:cs="Helvetica"/>
          <w:i/>
          <w:color w:val="0A1B32"/>
          <w:sz w:val="27"/>
          <w:szCs w:val="27"/>
          <w:lang w:val="en-US" w:eastAsia="pl-PL"/>
        </w:rPr>
        <w:t>standardised</w:t>
      </w:r>
      <w:proofErr w:type="spellEnd"/>
      <w:r w:rsidRPr="00D05D57">
        <w:rPr>
          <w:rFonts w:ascii="Helvetica" w:eastAsia="Times New Roman" w:hAnsi="Helvetica" w:cs="Helvetica"/>
          <w:i/>
          <w:color w:val="0A1B32"/>
          <w:sz w:val="27"/>
          <w:szCs w:val="27"/>
          <w:lang w:val="en-US" w:eastAsia="pl-PL"/>
        </w:rPr>
        <w:t xml:space="preserve"> approaches; and (c) The valuation framework applied to traded instruments.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In combination, these shortcomings resulted in </w:t>
      </w:r>
      <w:r w:rsidRPr="00141AC1">
        <w:rPr>
          <w:rFonts w:ascii="Helvetica" w:eastAsia="Times New Roman" w:hAnsi="Helvetica" w:cs="Helvetica"/>
          <w:b/>
          <w:i/>
          <w:color w:val="0A1B32"/>
          <w:sz w:val="27"/>
          <w:szCs w:val="27"/>
          <w:lang w:val="en-US" w:eastAsia="pl-PL"/>
        </w:rPr>
        <w:t xml:space="preserve">materially </w:t>
      </w:r>
      <w:proofErr w:type="spellStart"/>
      <w:r w:rsidRPr="00141AC1">
        <w:rPr>
          <w:rFonts w:ascii="Helvetica" w:eastAsia="Times New Roman" w:hAnsi="Helvetica" w:cs="Helvetica"/>
          <w:b/>
          <w:i/>
          <w:color w:val="0A1B32"/>
          <w:sz w:val="27"/>
          <w:szCs w:val="27"/>
          <w:lang w:val="en-US" w:eastAsia="pl-PL"/>
        </w:rPr>
        <w:t>undercapitalised</w:t>
      </w:r>
      <w:proofErr w:type="spellEnd"/>
      <w:r w:rsidRPr="00D05D57">
        <w:rPr>
          <w:rFonts w:ascii="Helvetica" w:eastAsia="Times New Roman" w:hAnsi="Helvetica" w:cs="Helvetica"/>
          <w:i/>
          <w:color w:val="0A1B32"/>
          <w:sz w:val="27"/>
          <w:szCs w:val="27"/>
          <w:lang w:val="en-US" w:eastAsia="pl-PL"/>
        </w:rPr>
        <w:t xml:space="preserve"> trading book exposures prior to the crisis. </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1.1 Weaknesses in the design of the regulatory capital framework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While the </w:t>
      </w:r>
      <w:proofErr w:type="spellStart"/>
      <w:r w:rsidRPr="00D05D57">
        <w:rPr>
          <w:rFonts w:ascii="Helvetica" w:eastAsia="Times New Roman" w:hAnsi="Helvetica" w:cs="Helvetica"/>
          <w:i/>
          <w:color w:val="0A1B32"/>
          <w:sz w:val="27"/>
          <w:szCs w:val="27"/>
          <w:lang w:val="en-US" w:eastAsia="pl-PL"/>
        </w:rPr>
        <w:t>undercapitalisation</w:t>
      </w:r>
      <w:proofErr w:type="spellEnd"/>
      <w:r w:rsidRPr="00D05D57">
        <w:rPr>
          <w:rFonts w:ascii="Helvetica" w:eastAsia="Times New Roman" w:hAnsi="Helvetica" w:cs="Helvetica"/>
          <w:i/>
          <w:color w:val="0A1B32"/>
          <w:sz w:val="27"/>
          <w:szCs w:val="27"/>
          <w:lang w:val="en-US" w:eastAsia="pl-PL"/>
        </w:rPr>
        <w:t xml:space="preserve"> of trading book exposures has often been the result of the methodologies used for risk measurement and valuation (both of which are discussed later in this section), elements of the overall design of the regime also contributed to, and amplified, the problems exposed during the crisis. These include:</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141AC1">
        <w:rPr>
          <w:rFonts w:ascii="Helvetica" w:eastAsia="Times New Roman" w:hAnsi="Helvetica" w:cs="Helvetica"/>
          <w:b/>
          <w:i/>
          <w:color w:val="0A1B32"/>
          <w:sz w:val="27"/>
          <w:szCs w:val="27"/>
          <w:lang w:val="en-US" w:eastAsia="pl-PL"/>
        </w:rPr>
        <w:t xml:space="preserve"> • The role of the regulatory boundary:</w:t>
      </w:r>
      <w:r w:rsidRPr="00D05D57">
        <w:rPr>
          <w:rFonts w:ascii="Helvetica" w:eastAsia="Times New Roman" w:hAnsi="Helvetica" w:cs="Helvetica"/>
          <w:i/>
          <w:color w:val="0A1B32"/>
          <w:sz w:val="27"/>
          <w:szCs w:val="27"/>
          <w:lang w:val="en-US" w:eastAsia="pl-PL"/>
        </w:rPr>
        <w:t xml:space="preserve"> The Committee believes that its definition of the regulatory boundary has been a key source of weakness in the design of the current regime. A key determinant of the boundary is banks’ </w:t>
      </w:r>
      <w:r w:rsidRPr="00141AC1">
        <w:rPr>
          <w:rFonts w:ascii="Helvetica" w:eastAsia="Times New Roman" w:hAnsi="Helvetica" w:cs="Helvetica"/>
          <w:b/>
          <w:i/>
          <w:color w:val="0A1B32"/>
          <w:sz w:val="27"/>
          <w:szCs w:val="27"/>
          <w:lang w:val="en-US" w:eastAsia="pl-PL"/>
        </w:rPr>
        <w:t>intent to trade</w:t>
      </w:r>
      <w:r w:rsidRPr="00D05D57">
        <w:rPr>
          <w:rFonts w:ascii="Helvetica" w:eastAsia="Times New Roman" w:hAnsi="Helvetica" w:cs="Helvetica"/>
          <w:i/>
          <w:color w:val="0A1B32"/>
          <w:sz w:val="27"/>
          <w:szCs w:val="27"/>
          <w:lang w:val="en-US" w:eastAsia="pl-PL"/>
        </w:rPr>
        <w:t xml:space="preserve">, an inherently subjective criterion that has proved difficult to police and insufficiently restrictive from a prudential perspective in some </w:t>
      </w:r>
      <w:r w:rsidRPr="00D05D57">
        <w:rPr>
          <w:rFonts w:ascii="Helvetica" w:eastAsia="Times New Roman" w:hAnsi="Helvetica" w:cs="Helvetica"/>
          <w:i/>
          <w:color w:val="0A1B32"/>
          <w:sz w:val="27"/>
          <w:szCs w:val="27"/>
          <w:lang w:val="en-US" w:eastAsia="pl-PL"/>
        </w:rPr>
        <w:lastRenderedPageBreak/>
        <w:t>jurisdictions. Coupled with large differences in capital requirements against similar types of risks across either side of the boundary, the capital framework proved susceptible to arbitrage. For example, prior to the crisis, it was advantageous for banks to classify an increasing number of instruments as “held with trading intent” (even if there was no evidence of regular trading of these instruments) in order to benefit from lower trading book capital requirements. During the crisis the opposite movement of positions from the trading book to the banking book was evident at times in some jurisdictions.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 </w:t>
      </w:r>
      <w:r w:rsidRPr="00141AC1">
        <w:rPr>
          <w:rFonts w:ascii="Helvetica" w:eastAsia="Times New Roman" w:hAnsi="Helvetica" w:cs="Helvetica"/>
          <w:b/>
          <w:i/>
          <w:color w:val="0A1B32"/>
          <w:sz w:val="27"/>
          <w:szCs w:val="27"/>
          <w:lang w:val="en-US" w:eastAsia="pl-PL"/>
        </w:rPr>
        <w:t>The lack of credible options for the withdrawal of model approvals:</w:t>
      </w:r>
      <w:r w:rsidRPr="00D05D57">
        <w:rPr>
          <w:rFonts w:ascii="Helvetica" w:eastAsia="Times New Roman" w:hAnsi="Helvetica" w:cs="Helvetica"/>
          <w:i/>
          <w:color w:val="0A1B32"/>
          <w:sz w:val="27"/>
          <w:szCs w:val="27"/>
          <w:lang w:val="en-US" w:eastAsia="pl-PL"/>
        </w:rPr>
        <w:t xml:space="preserve"> The design of the current framework does not embed a clear link between the models-based and </w:t>
      </w:r>
      <w:proofErr w:type="spellStart"/>
      <w:r w:rsidRPr="00D05D57">
        <w:rPr>
          <w:rFonts w:ascii="Helvetica" w:eastAsia="Times New Roman" w:hAnsi="Helvetica" w:cs="Helvetica"/>
          <w:i/>
          <w:color w:val="0A1B32"/>
          <w:sz w:val="27"/>
          <w:szCs w:val="27"/>
          <w:lang w:val="en-US" w:eastAsia="pl-PL"/>
        </w:rPr>
        <w:t>standardised</w:t>
      </w:r>
      <w:proofErr w:type="spellEnd"/>
      <w:r w:rsidRPr="00D05D57">
        <w:rPr>
          <w:rFonts w:ascii="Helvetica" w:eastAsia="Times New Roman" w:hAnsi="Helvetica" w:cs="Helvetica"/>
          <w:i/>
          <w:color w:val="0A1B32"/>
          <w:sz w:val="27"/>
          <w:szCs w:val="27"/>
          <w:lang w:val="en-US" w:eastAsia="pl-PL"/>
        </w:rPr>
        <w:t xml:space="preserve"> approaches either in terms of calibration or in terms of the conceptual approach to risk measurement. In part as a consequence of this, a key weakness of the design of the current framework has been the lack of credible options for the withdrawal of model approval. This can be a particular problem in stress periods, where supervisors witness a deterioration in model performance at the same time as raising new capital becomes very difficult. </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1.2 Weaknesses in risk measurement</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In addition to the flaws in the overall design of the framework, risk measurement under both the models-based and the </w:t>
      </w:r>
      <w:proofErr w:type="spellStart"/>
      <w:r w:rsidRPr="00D05D57">
        <w:rPr>
          <w:rFonts w:ascii="Helvetica" w:eastAsia="Times New Roman" w:hAnsi="Helvetica" w:cs="Helvetica"/>
          <w:i/>
          <w:color w:val="0A1B32"/>
          <w:sz w:val="27"/>
          <w:szCs w:val="27"/>
          <w:lang w:val="en-US" w:eastAsia="pl-PL"/>
        </w:rPr>
        <w:t>standardised</w:t>
      </w:r>
      <w:proofErr w:type="spellEnd"/>
      <w:r w:rsidRPr="00D05D57">
        <w:rPr>
          <w:rFonts w:ascii="Helvetica" w:eastAsia="Times New Roman" w:hAnsi="Helvetica" w:cs="Helvetica"/>
          <w:i/>
          <w:color w:val="0A1B32"/>
          <w:sz w:val="27"/>
          <w:szCs w:val="27"/>
          <w:lang w:val="en-US" w:eastAsia="pl-PL"/>
        </w:rPr>
        <w:t xml:space="preserve"> approaches proved wanting: </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w:t>
      </w:r>
      <w:r w:rsidRPr="00141AC1">
        <w:rPr>
          <w:rFonts w:ascii="Helvetica" w:eastAsia="Times New Roman" w:hAnsi="Helvetica" w:cs="Helvetica"/>
          <w:b/>
          <w:i/>
          <w:color w:val="0A1B32"/>
          <w:sz w:val="27"/>
          <w:szCs w:val="27"/>
          <w:lang w:val="en-US" w:eastAsia="pl-PL"/>
        </w:rPr>
        <w:t>Shortcomings of the models-based approach</w:t>
      </w:r>
      <w:r w:rsidRPr="00D05D57">
        <w:rPr>
          <w:rFonts w:ascii="Helvetica" w:eastAsia="Times New Roman" w:hAnsi="Helvetica" w:cs="Helvetica"/>
          <w:i/>
          <w:color w:val="0A1B32"/>
          <w:sz w:val="27"/>
          <w:szCs w:val="27"/>
          <w:lang w:val="en-US" w:eastAsia="pl-PL"/>
        </w:rPr>
        <w:t xml:space="preserve">: The metric used to </w:t>
      </w:r>
      <w:proofErr w:type="spellStart"/>
      <w:r w:rsidRPr="00D05D57">
        <w:rPr>
          <w:rFonts w:ascii="Helvetica" w:eastAsia="Times New Roman" w:hAnsi="Helvetica" w:cs="Helvetica"/>
          <w:i/>
          <w:color w:val="0A1B32"/>
          <w:sz w:val="27"/>
          <w:szCs w:val="27"/>
          <w:lang w:val="en-US" w:eastAsia="pl-PL"/>
        </w:rPr>
        <w:t>capitalise</w:t>
      </w:r>
      <w:proofErr w:type="spellEnd"/>
      <w:r w:rsidRPr="00D05D57">
        <w:rPr>
          <w:rFonts w:ascii="Helvetica" w:eastAsia="Times New Roman" w:hAnsi="Helvetica" w:cs="Helvetica"/>
          <w:i/>
          <w:color w:val="0A1B32"/>
          <w:sz w:val="27"/>
          <w:szCs w:val="27"/>
          <w:lang w:val="en-US" w:eastAsia="pl-PL"/>
        </w:rPr>
        <w:t xml:space="preserve"> trading book exposures was the </w:t>
      </w:r>
      <w:r w:rsidRPr="00141AC1">
        <w:rPr>
          <w:rFonts w:ascii="Helvetica" w:eastAsia="Times New Roman" w:hAnsi="Helvetica" w:cs="Helvetica"/>
          <w:b/>
          <w:i/>
          <w:color w:val="0A1B32"/>
          <w:sz w:val="27"/>
          <w:szCs w:val="27"/>
          <w:lang w:val="en-US" w:eastAsia="pl-PL"/>
        </w:rPr>
        <w:t>10-day value-at-risk (</w:t>
      </w:r>
      <w:proofErr w:type="spellStart"/>
      <w:r w:rsidRPr="00141AC1">
        <w:rPr>
          <w:rFonts w:ascii="Helvetica" w:eastAsia="Times New Roman" w:hAnsi="Helvetica" w:cs="Helvetica"/>
          <w:b/>
          <w:i/>
          <w:color w:val="0A1B32"/>
          <w:sz w:val="27"/>
          <w:szCs w:val="27"/>
          <w:lang w:val="en-US" w:eastAsia="pl-PL"/>
        </w:rPr>
        <w:t>VaR</w:t>
      </w:r>
      <w:proofErr w:type="spellEnd"/>
      <w:r w:rsidRPr="00141AC1">
        <w:rPr>
          <w:rFonts w:ascii="Helvetica" w:eastAsia="Times New Roman" w:hAnsi="Helvetica" w:cs="Helvetica"/>
          <w:b/>
          <w:i/>
          <w:color w:val="0A1B32"/>
          <w:sz w:val="27"/>
          <w:szCs w:val="27"/>
          <w:lang w:val="en-US" w:eastAsia="pl-PL"/>
        </w:rPr>
        <w:t>) computed at the 99th percentile</w:t>
      </w:r>
      <w:r w:rsidRPr="00D05D57">
        <w:rPr>
          <w:rFonts w:ascii="Helvetica" w:eastAsia="Times New Roman" w:hAnsi="Helvetica" w:cs="Helvetica"/>
          <w:i/>
          <w:color w:val="0A1B32"/>
          <w:sz w:val="27"/>
          <w:szCs w:val="27"/>
          <w:lang w:val="en-US" w:eastAsia="pl-PL"/>
        </w:rPr>
        <w:t xml:space="preserve">, one-tailed confidence interval. By construction, this is a measure aimed at capturing the risk of short-term fluctuations in market prices. While a 10-day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might be useful for day-to-day internal risk management purposes, it is </w:t>
      </w:r>
      <w:r w:rsidRPr="00141AC1">
        <w:rPr>
          <w:rFonts w:ascii="Helvetica" w:eastAsia="Times New Roman" w:hAnsi="Helvetica" w:cs="Helvetica"/>
          <w:b/>
          <w:i/>
          <w:color w:val="0A1B32"/>
          <w:sz w:val="27"/>
          <w:szCs w:val="27"/>
          <w:lang w:val="en-US" w:eastAsia="pl-PL"/>
        </w:rPr>
        <w:t>questionable whether it meets the objectives of prudential regulation which seeks to ensure that banks have sufficient capital to survive low probability, or “tail”,</w:t>
      </w:r>
      <w:r w:rsidRPr="00D05D57">
        <w:rPr>
          <w:rFonts w:ascii="Helvetica" w:eastAsia="Times New Roman" w:hAnsi="Helvetica" w:cs="Helvetica"/>
          <w:i/>
          <w:color w:val="0A1B32"/>
          <w:sz w:val="27"/>
          <w:szCs w:val="27"/>
          <w:lang w:val="en-US" w:eastAsia="pl-PL"/>
        </w:rPr>
        <w:t xml:space="preserve"> events</w:t>
      </w:r>
      <w:r w:rsidRPr="00141AC1">
        <w:rPr>
          <w:rFonts w:ascii="Helvetica" w:eastAsia="Times New Roman" w:hAnsi="Helvetica" w:cs="Helvetica"/>
          <w:b/>
          <w:i/>
          <w:color w:val="0A1B32"/>
          <w:sz w:val="27"/>
          <w:szCs w:val="27"/>
          <w:lang w:val="en-US" w:eastAsia="pl-PL"/>
        </w:rPr>
        <w:t xml:space="preserve">. Weaknesses identified with the 10-day </w:t>
      </w:r>
      <w:proofErr w:type="spellStart"/>
      <w:r w:rsidRPr="00141AC1">
        <w:rPr>
          <w:rFonts w:ascii="Helvetica" w:eastAsia="Times New Roman" w:hAnsi="Helvetica" w:cs="Helvetica"/>
          <w:b/>
          <w:i/>
          <w:color w:val="0A1B32"/>
          <w:sz w:val="27"/>
          <w:szCs w:val="27"/>
          <w:lang w:val="en-US" w:eastAsia="pl-PL"/>
        </w:rPr>
        <w:t>VaR</w:t>
      </w:r>
      <w:proofErr w:type="spellEnd"/>
      <w:r w:rsidRPr="00141AC1">
        <w:rPr>
          <w:rFonts w:ascii="Helvetica" w:eastAsia="Times New Roman" w:hAnsi="Helvetica" w:cs="Helvetica"/>
          <w:b/>
          <w:i/>
          <w:color w:val="0A1B32"/>
          <w:sz w:val="27"/>
          <w:szCs w:val="27"/>
          <w:lang w:val="en-US" w:eastAsia="pl-PL"/>
        </w:rPr>
        <w:t xml:space="preserve"> metric include: </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1.</w:t>
      </w:r>
      <w:r w:rsidRPr="00141AC1">
        <w:rPr>
          <w:rFonts w:ascii="Helvetica" w:eastAsia="Times New Roman" w:hAnsi="Helvetica" w:cs="Helvetica"/>
          <w:b/>
          <w:i/>
          <w:color w:val="0A1B32"/>
          <w:sz w:val="27"/>
          <w:szCs w:val="27"/>
          <w:lang w:val="en-US" w:eastAsia="pl-PL"/>
        </w:rPr>
        <w:tab/>
        <w:t xml:space="preserve">its inability to adequately capture credit risk; </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2.</w:t>
      </w:r>
      <w:r w:rsidRPr="00141AC1">
        <w:rPr>
          <w:rFonts w:ascii="Helvetica" w:eastAsia="Times New Roman" w:hAnsi="Helvetica" w:cs="Helvetica"/>
          <w:b/>
          <w:i/>
          <w:color w:val="0A1B32"/>
          <w:sz w:val="27"/>
          <w:szCs w:val="27"/>
          <w:lang w:val="en-US" w:eastAsia="pl-PL"/>
        </w:rPr>
        <w:tab/>
        <w:t>its inability to capture market liquidity risk;</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3.</w:t>
      </w:r>
      <w:r w:rsidRPr="00141AC1">
        <w:rPr>
          <w:rFonts w:ascii="Helvetica" w:eastAsia="Times New Roman" w:hAnsi="Helvetica" w:cs="Helvetica"/>
          <w:b/>
          <w:i/>
          <w:color w:val="0A1B32"/>
          <w:sz w:val="27"/>
          <w:szCs w:val="27"/>
          <w:lang w:val="en-US" w:eastAsia="pl-PL"/>
        </w:rPr>
        <w:tab/>
        <w:t xml:space="preserve">the provision of incentives for banks to take on tail risk; </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4.</w:t>
      </w:r>
      <w:r w:rsidRPr="00141AC1">
        <w:rPr>
          <w:rFonts w:ascii="Helvetica" w:eastAsia="Times New Roman" w:hAnsi="Helvetica" w:cs="Helvetica"/>
          <w:b/>
          <w:i/>
          <w:color w:val="0A1B32"/>
          <w:sz w:val="27"/>
          <w:szCs w:val="27"/>
          <w:lang w:val="en-US" w:eastAsia="pl-PL"/>
        </w:rPr>
        <w:tab/>
        <w:t>and, in some circumstances, the inadequate capture of basis risk.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Perhaps more fundamentally, the models-based capital framework for market risk relied on a bank-specific perspective of risk, which might not be </w:t>
      </w:r>
      <w:r w:rsidRPr="00D05D57">
        <w:rPr>
          <w:rFonts w:ascii="Helvetica" w:eastAsia="Times New Roman" w:hAnsi="Helvetica" w:cs="Helvetica"/>
          <w:i/>
          <w:color w:val="0A1B32"/>
          <w:sz w:val="27"/>
          <w:szCs w:val="27"/>
          <w:lang w:val="en-US" w:eastAsia="pl-PL"/>
        </w:rPr>
        <w:lastRenderedPageBreak/>
        <w:t xml:space="preserve">adequate from the perspective of the banking system as a whole. </w:t>
      </w:r>
      <w:r w:rsidRPr="00141AC1">
        <w:rPr>
          <w:rFonts w:ascii="Helvetica" w:eastAsia="Times New Roman" w:hAnsi="Helvetica" w:cs="Helvetica"/>
          <w:b/>
          <w:i/>
          <w:color w:val="0A1B32"/>
          <w:sz w:val="27"/>
          <w:szCs w:val="27"/>
          <w:lang w:val="en-US" w:eastAsia="pl-PL"/>
        </w:rPr>
        <w:t xml:space="preserve">The pro-cyclicality of </w:t>
      </w:r>
      <w:proofErr w:type="spellStart"/>
      <w:r w:rsidRPr="00141AC1">
        <w:rPr>
          <w:rFonts w:ascii="Helvetica" w:eastAsia="Times New Roman" w:hAnsi="Helvetica" w:cs="Helvetica"/>
          <w:b/>
          <w:i/>
          <w:color w:val="0A1B32"/>
          <w:sz w:val="27"/>
          <w:szCs w:val="27"/>
          <w:lang w:val="en-US" w:eastAsia="pl-PL"/>
        </w:rPr>
        <w:t>VaR</w:t>
      </w:r>
      <w:proofErr w:type="spellEnd"/>
      <w:r w:rsidRPr="00141AC1">
        <w:rPr>
          <w:rFonts w:ascii="Helvetica" w:eastAsia="Times New Roman" w:hAnsi="Helvetica" w:cs="Helvetica"/>
          <w:b/>
          <w:i/>
          <w:color w:val="0A1B32"/>
          <w:sz w:val="27"/>
          <w:szCs w:val="27"/>
          <w:lang w:val="en-US" w:eastAsia="pl-PL"/>
        </w:rPr>
        <w:t xml:space="preserve">-based capital charges based on recent historic data and the large number and size of </w:t>
      </w:r>
      <w:proofErr w:type="spellStart"/>
      <w:r w:rsidRPr="00141AC1">
        <w:rPr>
          <w:rFonts w:ascii="Helvetica" w:eastAsia="Times New Roman" w:hAnsi="Helvetica" w:cs="Helvetica"/>
          <w:b/>
          <w:i/>
          <w:color w:val="0A1B32"/>
          <w:sz w:val="27"/>
          <w:szCs w:val="27"/>
          <w:lang w:val="en-US" w:eastAsia="pl-PL"/>
        </w:rPr>
        <w:t>backtesting</w:t>
      </w:r>
      <w:proofErr w:type="spellEnd"/>
      <w:r w:rsidRPr="00141AC1">
        <w:rPr>
          <w:rFonts w:ascii="Helvetica" w:eastAsia="Times New Roman" w:hAnsi="Helvetica" w:cs="Helvetica"/>
          <w:b/>
          <w:i/>
          <w:color w:val="0A1B32"/>
          <w:sz w:val="27"/>
          <w:szCs w:val="27"/>
          <w:lang w:val="en-US" w:eastAsia="pl-PL"/>
        </w:rPr>
        <w:t xml:space="preserve"> exceptions observed during the crisis serve to highlight regulatory concerns with continued reliance on </w:t>
      </w:r>
      <w:proofErr w:type="spellStart"/>
      <w:r w:rsidRPr="00141AC1">
        <w:rPr>
          <w:rFonts w:ascii="Helvetica" w:eastAsia="Times New Roman" w:hAnsi="Helvetica" w:cs="Helvetica"/>
          <w:b/>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w:t>
      </w:r>
      <w:r w:rsidRPr="00141AC1">
        <w:rPr>
          <w:rFonts w:ascii="Helvetica" w:eastAsia="Times New Roman" w:hAnsi="Helvetica" w:cs="Helvetica"/>
          <w:b/>
          <w:i/>
          <w:color w:val="0A1B32"/>
          <w:sz w:val="27"/>
          <w:szCs w:val="27"/>
          <w:lang w:val="en-US" w:eastAsia="pl-PL"/>
        </w:rPr>
        <w:t xml:space="preserve">Shortcomings of the </w:t>
      </w:r>
      <w:proofErr w:type="spellStart"/>
      <w:r w:rsidRPr="00141AC1">
        <w:rPr>
          <w:rFonts w:ascii="Helvetica" w:eastAsia="Times New Roman" w:hAnsi="Helvetica" w:cs="Helvetica"/>
          <w:b/>
          <w:i/>
          <w:color w:val="0A1B32"/>
          <w:sz w:val="27"/>
          <w:szCs w:val="27"/>
          <w:lang w:val="en-US" w:eastAsia="pl-PL"/>
        </w:rPr>
        <w:t>standardised</w:t>
      </w:r>
      <w:proofErr w:type="spellEnd"/>
      <w:r w:rsidRPr="00141AC1">
        <w:rPr>
          <w:rFonts w:ascii="Helvetica" w:eastAsia="Times New Roman" w:hAnsi="Helvetica" w:cs="Helvetica"/>
          <w:b/>
          <w:i/>
          <w:color w:val="0A1B32"/>
          <w:sz w:val="27"/>
          <w:szCs w:val="27"/>
          <w:lang w:val="en-US" w:eastAsia="pl-PL"/>
        </w:rPr>
        <w:t xml:space="preserve"> approach</w:t>
      </w:r>
      <w:r w:rsidRPr="00D05D57">
        <w:rPr>
          <w:rFonts w:ascii="Helvetica" w:eastAsia="Times New Roman" w:hAnsi="Helvetica" w:cs="Helvetica"/>
          <w:i/>
          <w:color w:val="0A1B32"/>
          <w:sz w:val="27"/>
          <w:szCs w:val="27"/>
          <w:lang w:val="en-US" w:eastAsia="pl-PL"/>
        </w:rPr>
        <w:t xml:space="preserve">: Although the crisis largely brought to the fore problems with the models-based approach to market risk, the Committee has also identified important shortcomings with the </w:t>
      </w:r>
      <w:proofErr w:type="spellStart"/>
      <w:r w:rsidRPr="00D05D57">
        <w:rPr>
          <w:rFonts w:ascii="Helvetica" w:eastAsia="Times New Roman" w:hAnsi="Helvetica" w:cs="Helvetica"/>
          <w:i/>
          <w:color w:val="0A1B32"/>
          <w:sz w:val="27"/>
          <w:szCs w:val="27"/>
          <w:lang w:val="en-US" w:eastAsia="pl-PL"/>
        </w:rPr>
        <w:t>standardised</w:t>
      </w:r>
      <w:proofErr w:type="spellEnd"/>
      <w:r w:rsidRPr="00D05D57">
        <w:rPr>
          <w:rFonts w:ascii="Helvetica" w:eastAsia="Times New Roman" w:hAnsi="Helvetica" w:cs="Helvetica"/>
          <w:i/>
          <w:color w:val="0A1B32"/>
          <w:sz w:val="27"/>
          <w:szCs w:val="27"/>
          <w:lang w:val="en-US" w:eastAsia="pl-PL"/>
        </w:rPr>
        <w:t xml:space="preserve"> approach. These include a lack of risk sensitivity, a very limited recognition of hedging and diversification benefits and an inability to sufficiently capture risks associated with more complex instruments. </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 xml:space="preserve">Weaknesses in valuation practices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recent crisis highlighted the importance of robust valuation practices, especially of </w:t>
      </w:r>
      <w:r w:rsidRPr="00141AC1">
        <w:rPr>
          <w:rFonts w:ascii="Helvetica" w:eastAsia="Times New Roman" w:hAnsi="Helvetica" w:cs="Helvetica"/>
          <w:b/>
          <w:i/>
          <w:color w:val="0A1B32"/>
          <w:sz w:val="27"/>
          <w:szCs w:val="27"/>
          <w:lang w:val="en-US" w:eastAsia="pl-PL"/>
        </w:rPr>
        <w:t>complex or illiquid financial instruments</w:t>
      </w:r>
      <w:r w:rsidRPr="00D05D57">
        <w:rPr>
          <w:rFonts w:ascii="Helvetica" w:eastAsia="Times New Roman" w:hAnsi="Helvetica" w:cs="Helvetica"/>
          <w:i/>
          <w:color w:val="0A1B32"/>
          <w:sz w:val="27"/>
          <w:szCs w:val="27"/>
          <w:lang w:val="en-US" w:eastAsia="pl-PL"/>
        </w:rPr>
        <w:t>, in times of stress. Different valuation methodologies can have a very material impact on estimated capital resources. Therefore, in assessing capital adequacy, supervisors need to be confident that valuation methodologies are in line with prudential objectives. It is at least as important to have prudent, reliable and comparable estimates of capital resources as to have prudent, reliable and comparable estimates of capital requirements. The crisis highlighted key weaknesses in the valuation framework, including the lack of application of prudent valuation adjustments and the emergence of valuation uncertainty as a key source of solvency concerns.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2009 revisions to the market risk framework (“Basel 2.5”) The key elements of these revised market risk standards were: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w:t>
      </w:r>
      <w:r w:rsidRPr="00141AC1">
        <w:rPr>
          <w:rFonts w:ascii="Helvetica" w:eastAsia="Times New Roman" w:hAnsi="Helvetica" w:cs="Helvetica"/>
          <w:b/>
          <w:i/>
          <w:color w:val="0A1B32"/>
          <w:sz w:val="27"/>
          <w:szCs w:val="27"/>
          <w:lang w:val="en-US" w:eastAsia="pl-PL"/>
        </w:rPr>
        <w:t>The introduction of the IRC</w:t>
      </w:r>
      <w:r w:rsidRPr="00D05D57">
        <w:rPr>
          <w:rFonts w:ascii="Helvetica" w:eastAsia="Times New Roman" w:hAnsi="Helvetica" w:cs="Helvetica"/>
          <w:i/>
          <w:color w:val="0A1B32"/>
          <w:sz w:val="27"/>
          <w:szCs w:val="27"/>
          <w:lang w:val="en-US" w:eastAsia="pl-PL"/>
        </w:rPr>
        <w:t xml:space="preserve">: In recognition of the fact that the 10-day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metric does not sufficiently capture banks’ exposures to credit risk, the 2009 amendments introduced an additional capital charge intended to capture both default risk and credit rating migration risk. The IRC is estimated based on a one-year capital horizon at a 99.9 percent confidence level, consistent with the treatment of credit exposures in the banking book. However, it also takes into account the liquidity of individual instruments or sets of instruments. Unlike the banking book treatment of credit risk, it allows banks to estimate their own asset value correlation parameters.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w:t>
      </w:r>
      <w:r w:rsidRPr="00141AC1">
        <w:rPr>
          <w:rFonts w:ascii="Helvetica" w:eastAsia="Times New Roman" w:hAnsi="Helvetica" w:cs="Helvetica"/>
          <w:b/>
          <w:i/>
          <w:color w:val="0A1B32"/>
          <w:sz w:val="27"/>
          <w:szCs w:val="27"/>
          <w:lang w:val="en-US" w:eastAsia="pl-PL"/>
        </w:rPr>
        <w:t xml:space="preserve">The introduction of stressed </w:t>
      </w:r>
      <w:proofErr w:type="spellStart"/>
      <w:r w:rsidRPr="00141AC1">
        <w:rPr>
          <w:rFonts w:ascii="Helvetica" w:eastAsia="Times New Roman" w:hAnsi="Helvetica" w:cs="Helvetica"/>
          <w:b/>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In addition to the 10-day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requirements, the 2009 amendments require banks to calculate a “stressed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measure. </w:t>
      </w:r>
      <w:r w:rsidRPr="00141AC1">
        <w:rPr>
          <w:rFonts w:ascii="Helvetica" w:eastAsia="Times New Roman" w:hAnsi="Helvetica" w:cs="Helvetica"/>
          <w:b/>
          <w:i/>
          <w:color w:val="0A1B32"/>
          <w:sz w:val="27"/>
          <w:szCs w:val="27"/>
          <w:lang w:val="en-US" w:eastAsia="pl-PL"/>
        </w:rPr>
        <w:t xml:space="preserve">The stressed </w:t>
      </w:r>
      <w:proofErr w:type="spellStart"/>
      <w:r w:rsidRPr="00141AC1">
        <w:rPr>
          <w:rFonts w:ascii="Helvetica" w:eastAsia="Times New Roman" w:hAnsi="Helvetica" w:cs="Helvetica"/>
          <w:b/>
          <w:i/>
          <w:color w:val="0A1B32"/>
          <w:sz w:val="27"/>
          <w:szCs w:val="27"/>
          <w:lang w:val="en-US" w:eastAsia="pl-PL"/>
        </w:rPr>
        <w:t>VaR</w:t>
      </w:r>
      <w:proofErr w:type="spellEnd"/>
      <w:r w:rsidRPr="00141AC1">
        <w:rPr>
          <w:rFonts w:ascii="Helvetica" w:eastAsia="Times New Roman" w:hAnsi="Helvetica" w:cs="Helvetica"/>
          <w:b/>
          <w:i/>
          <w:color w:val="0A1B32"/>
          <w:sz w:val="27"/>
          <w:szCs w:val="27"/>
          <w:lang w:val="en-US" w:eastAsia="pl-PL"/>
        </w:rPr>
        <w:t xml:space="preserve"> is intended to replicate a </w:t>
      </w:r>
      <w:proofErr w:type="spellStart"/>
      <w:r w:rsidRPr="00141AC1">
        <w:rPr>
          <w:rFonts w:ascii="Helvetica" w:eastAsia="Times New Roman" w:hAnsi="Helvetica" w:cs="Helvetica"/>
          <w:b/>
          <w:i/>
          <w:color w:val="0A1B32"/>
          <w:sz w:val="27"/>
          <w:szCs w:val="27"/>
          <w:lang w:val="en-US" w:eastAsia="pl-PL"/>
        </w:rPr>
        <w:t>VaR</w:t>
      </w:r>
      <w:proofErr w:type="spellEnd"/>
      <w:r w:rsidRPr="00141AC1">
        <w:rPr>
          <w:rFonts w:ascii="Helvetica" w:eastAsia="Times New Roman" w:hAnsi="Helvetica" w:cs="Helvetica"/>
          <w:b/>
          <w:i/>
          <w:color w:val="0A1B32"/>
          <w:sz w:val="27"/>
          <w:szCs w:val="27"/>
          <w:lang w:val="en-US" w:eastAsia="pl-PL"/>
        </w:rPr>
        <w:t xml:space="preserve"> calculation that would be generated on the bank’s current portfolio if the relevant market factors were experiencing a period of stress</w:t>
      </w:r>
      <w:r w:rsidRPr="00D05D57">
        <w:rPr>
          <w:rFonts w:ascii="Helvetica" w:eastAsia="Times New Roman" w:hAnsi="Helvetica" w:cs="Helvetica"/>
          <w:i/>
          <w:color w:val="0A1B32"/>
          <w:sz w:val="27"/>
          <w:szCs w:val="27"/>
          <w:lang w:val="en-US" w:eastAsia="pl-PL"/>
        </w:rPr>
        <w:t xml:space="preserve">. It </w:t>
      </w:r>
      <w:r w:rsidRPr="00D05D57">
        <w:rPr>
          <w:rFonts w:ascii="Helvetica" w:eastAsia="Times New Roman" w:hAnsi="Helvetica" w:cs="Helvetica"/>
          <w:i/>
          <w:color w:val="0A1B32"/>
          <w:sz w:val="27"/>
          <w:szCs w:val="27"/>
          <w:lang w:val="en-US" w:eastAsia="pl-PL"/>
        </w:rPr>
        <w:lastRenderedPageBreak/>
        <w:t xml:space="preserve">should be based on the </w:t>
      </w:r>
      <w:r w:rsidRPr="00141AC1">
        <w:rPr>
          <w:rFonts w:ascii="Helvetica" w:eastAsia="Times New Roman" w:hAnsi="Helvetica" w:cs="Helvetica"/>
          <w:b/>
          <w:i/>
          <w:color w:val="0A1B32"/>
          <w:sz w:val="27"/>
          <w:szCs w:val="27"/>
          <w:lang w:val="en-US" w:eastAsia="pl-PL"/>
        </w:rPr>
        <w:t xml:space="preserve">10-day, 99th percentile, one-tailed confidence interval </w:t>
      </w:r>
      <w:proofErr w:type="spellStart"/>
      <w:r w:rsidRPr="00141AC1">
        <w:rPr>
          <w:rFonts w:ascii="Helvetica" w:eastAsia="Times New Roman" w:hAnsi="Helvetica" w:cs="Helvetica"/>
          <w:b/>
          <w:i/>
          <w:color w:val="0A1B32"/>
          <w:sz w:val="27"/>
          <w:szCs w:val="27"/>
          <w:lang w:val="en-US" w:eastAsia="pl-PL"/>
        </w:rPr>
        <w:t>VaR</w:t>
      </w:r>
      <w:proofErr w:type="spellEnd"/>
      <w:r w:rsidRPr="00141AC1">
        <w:rPr>
          <w:rFonts w:ascii="Helvetica" w:eastAsia="Times New Roman" w:hAnsi="Helvetica" w:cs="Helvetica"/>
          <w:b/>
          <w:i/>
          <w:color w:val="0A1B32"/>
          <w:sz w:val="27"/>
          <w:szCs w:val="27"/>
          <w:lang w:val="en-US" w:eastAsia="pl-PL"/>
        </w:rPr>
        <w:t xml:space="preserve"> measure, with model inputs calibrated to historical data from a continuous 12-month period of significant financial stress</w:t>
      </w:r>
      <w:r w:rsidRPr="00D05D57">
        <w:rPr>
          <w:rFonts w:ascii="Helvetica" w:eastAsia="Times New Roman" w:hAnsi="Helvetica" w:cs="Helvetica"/>
          <w:i/>
          <w:color w:val="0A1B32"/>
          <w:sz w:val="27"/>
          <w:szCs w:val="27"/>
          <w:lang w:val="en-US" w:eastAsia="pl-PL"/>
        </w:rPr>
        <w:t xml:space="preserve">. The introduction of stressed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is intended, in part, to dampen the cyclicality of the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measure and to mitigate the problem of market stresses falling out of the data period used to calibrate the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after some time.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w:t>
      </w:r>
      <w:r w:rsidRPr="00141AC1">
        <w:rPr>
          <w:rFonts w:ascii="Helvetica" w:eastAsia="Times New Roman" w:hAnsi="Helvetica" w:cs="Helvetica"/>
          <w:b/>
          <w:i/>
          <w:color w:val="0A1B32"/>
          <w:sz w:val="27"/>
          <w:szCs w:val="27"/>
          <w:lang w:val="en-US" w:eastAsia="pl-PL"/>
        </w:rPr>
        <w:t xml:space="preserve">Alignment of the treatment of </w:t>
      </w:r>
      <w:proofErr w:type="spellStart"/>
      <w:r w:rsidRPr="00141AC1">
        <w:rPr>
          <w:rFonts w:ascii="Helvetica" w:eastAsia="Times New Roman" w:hAnsi="Helvetica" w:cs="Helvetica"/>
          <w:b/>
          <w:i/>
          <w:color w:val="0A1B32"/>
          <w:sz w:val="27"/>
          <w:szCs w:val="27"/>
          <w:lang w:val="en-US" w:eastAsia="pl-PL"/>
        </w:rPr>
        <w:t>securitisation</w:t>
      </w:r>
      <w:proofErr w:type="spellEnd"/>
      <w:r w:rsidRPr="00141AC1">
        <w:rPr>
          <w:rFonts w:ascii="Helvetica" w:eastAsia="Times New Roman" w:hAnsi="Helvetica" w:cs="Helvetica"/>
          <w:b/>
          <w:i/>
          <w:color w:val="0A1B32"/>
          <w:sz w:val="27"/>
          <w:szCs w:val="27"/>
          <w:lang w:val="en-US" w:eastAsia="pl-PL"/>
        </w:rPr>
        <w:t xml:space="preserve"> exposures across the banking book and the trading book</w:t>
      </w:r>
      <w:r w:rsidRPr="00D05D57">
        <w:rPr>
          <w:rFonts w:ascii="Helvetica" w:eastAsia="Times New Roman" w:hAnsi="Helvetica" w:cs="Helvetica"/>
          <w:i/>
          <w:color w:val="0A1B32"/>
          <w:sz w:val="27"/>
          <w:szCs w:val="27"/>
          <w:lang w:val="en-US" w:eastAsia="pl-PL"/>
        </w:rPr>
        <w:t xml:space="preserve">: As of July 2009, the Committee as a whole had not agreed that modelling methodologies used by banks adequately captured the risks of </w:t>
      </w:r>
      <w:proofErr w:type="spellStart"/>
      <w:r w:rsidRPr="00D05D57">
        <w:rPr>
          <w:rFonts w:ascii="Helvetica" w:eastAsia="Times New Roman" w:hAnsi="Helvetica" w:cs="Helvetica"/>
          <w:i/>
          <w:color w:val="0A1B32"/>
          <w:sz w:val="27"/>
          <w:szCs w:val="27"/>
          <w:lang w:val="en-US" w:eastAsia="pl-PL"/>
        </w:rPr>
        <w:t>securitised</w:t>
      </w:r>
      <w:proofErr w:type="spellEnd"/>
      <w:r w:rsidRPr="00D05D57">
        <w:rPr>
          <w:rFonts w:ascii="Helvetica" w:eastAsia="Times New Roman" w:hAnsi="Helvetica" w:cs="Helvetica"/>
          <w:i/>
          <w:color w:val="0A1B32"/>
          <w:sz w:val="27"/>
          <w:szCs w:val="27"/>
          <w:lang w:val="en-US" w:eastAsia="pl-PL"/>
        </w:rPr>
        <w:t xml:space="preserve"> products. As a result, it agreed to apply the </w:t>
      </w:r>
      <w:proofErr w:type="spellStart"/>
      <w:r w:rsidRPr="00D05D57">
        <w:rPr>
          <w:rFonts w:ascii="Helvetica" w:eastAsia="Times New Roman" w:hAnsi="Helvetica" w:cs="Helvetica"/>
          <w:i/>
          <w:color w:val="0A1B32"/>
          <w:sz w:val="27"/>
          <w:szCs w:val="27"/>
          <w:lang w:val="en-US" w:eastAsia="pl-PL"/>
        </w:rPr>
        <w:t>standardised</w:t>
      </w:r>
      <w:proofErr w:type="spellEnd"/>
      <w:r w:rsidRPr="00D05D57">
        <w:rPr>
          <w:rFonts w:ascii="Helvetica" w:eastAsia="Times New Roman" w:hAnsi="Helvetica" w:cs="Helvetica"/>
          <w:i/>
          <w:color w:val="0A1B32"/>
          <w:sz w:val="27"/>
          <w:szCs w:val="27"/>
          <w:lang w:val="en-US" w:eastAsia="pl-PL"/>
        </w:rPr>
        <w:t xml:space="preserve"> capital charges based on the banking book risk weights to these exposures. However, the Committee agreed on a limited exception for certain correlation trading activities, where banks are allowed by their supervisor to calculate capital charges based on the CRM. This new model is subject to a strict set of minimum requirements, including the regular application of specific, predetermined stress scenarios and a floor expressed as a percentage of the charge applicable under the </w:t>
      </w:r>
      <w:proofErr w:type="spellStart"/>
      <w:r w:rsidRPr="00D05D57">
        <w:rPr>
          <w:rFonts w:ascii="Helvetica" w:eastAsia="Times New Roman" w:hAnsi="Helvetica" w:cs="Helvetica"/>
          <w:i/>
          <w:color w:val="0A1B32"/>
          <w:sz w:val="27"/>
          <w:szCs w:val="27"/>
          <w:lang w:val="en-US" w:eastAsia="pl-PL"/>
        </w:rPr>
        <w:t>standardised</w:t>
      </w:r>
      <w:proofErr w:type="spellEnd"/>
      <w:r w:rsidRPr="00D05D57">
        <w:rPr>
          <w:rFonts w:ascii="Helvetica" w:eastAsia="Times New Roman" w:hAnsi="Helvetica" w:cs="Helvetica"/>
          <w:i/>
          <w:color w:val="0A1B32"/>
          <w:sz w:val="27"/>
          <w:szCs w:val="27"/>
          <w:lang w:val="en-US" w:eastAsia="pl-PL"/>
        </w:rPr>
        <w:t xml:space="preserve"> approach.</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 </w:t>
      </w:r>
      <w:r w:rsidRPr="00141AC1">
        <w:rPr>
          <w:rFonts w:ascii="Helvetica" w:eastAsia="Times New Roman" w:hAnsi="Helvetica" w:cs="Helvetica"/>
          <w:b/>
          <w:i/>
          <w:color w:val="0A1B32"/>
          <w:sz w:val="27"/>
          <w:szCs w:val="27"/>
          <w:lang w:val="en-US" w:eastAsia="pl-PL"/>
        </w:rPr>
        <w:t>Improved risk factor coverage of internal models</w:t>
      </w:r>
      <w:r w:rsidRPr="00D05D57">
        <w:rPr>
          <w:rFonts w:ascii="Helvetica" w:eastAsia="Times New Roman" w:hAnsi="Helvetica" w:cs="Helvetica"/>
          <w:i/>
          <w:color w:val="0A1B32"/>
          <w:sz w:val="27"/>
          <w:szCs w:val="27"/>
          <w:lang w:val="en-US" w:eastAsia="pl-PL"/>
        </w:rPr>
        <w:t xml:space="preserve">: Banks are now explicitly required to incorporate all risk factors in their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models that are deemed relevant for pricing purposes, or to justify their omission. Basis risks are also expected to be captured by banks to the satisfaction of the supervisor, as well as event risk (not covered in IRC), which must be included in the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measurement. Banks can no longer rely on a surcharge model to capture these risks.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w:t>
      </w:r>
      <w:r w:rsidRPr="00141AC1">
        <w:rPr>
          <w:rFonts w:ascii="Helvetica" w:eastAsia="Times New Roman" w:hAnsi="Helvetica" w:cs="Helvetica"/>
          <w:b/>
          <w:i/>
          <w:color w:val="0A1B32"/>
          <w:sz w:val="27"/>
          <w:szCs w:val="27"/>
          <w:lang w:val="en-US" w:eastAsia="pl-PL"/>
        </w:rPr>
        <w:t>Enhanced prudent valuation guidance</w:t>
      </w:r>
      <w:r w:rsidRPr="00D05D57">
        <w:rPr>
          <w:rFonts w:ascii="Helvetica" w:eastAsia="Times New Roman" w:hAnsi="Helvetica" w:cs="Helvetica"/>
          <w:i/>
          <w:color w:val="0A1B32"/>
          <w:sz w:val="27"/>
          <w:szCs w:val="27"/>
          <w:lang w:val="en-US" w:eastAsia="pl-PL"/>
        </w:rPr>
        <w:t xml:space="preserve">: The Committee extended the scope of the prudent valuation guidance to all instruments subject to fair value accounting, including those in the banking book. The Committee also clarified that regulators retain the ability to require adjustments to the current value beyond those required by financial reporting standards, in particular where there is uncertainty around the current </w:t>
      </w:r>
      <w:proofErr w:type="spellStart"/>
      <w:r w:rsidRPr="00D05D57">
        <w:rPr>
          <w:rFonts w:ascii="Helvetica" w:eastAsia="Times New Roman" w:hAnsi="Helvetica" w:cs="Helvetica"/>
          <w:i/>
          <w:color w:val="0A1B32"/>
          <w:sz w:val="27"/>
          <w:szCs w:val="27"/>
          <w:lang w:val="en-US" w:eastAsia="pl-PL"/>
        </w:rPr>
        <w:t>realisable</w:t>
      </w:r>
      <w:proofErr w:type="spellEnd"/>
      <w:r w:rsidRPr="00D05D57">
        <w:rPr>
          <w:rFonts w:ascii="Helvetica" w:eastAsia="Times New Roman" w:hAnsi="Helvetica" w:cs="Helvetica"/>
          <w:i/>
          <w:color w:val="0A1B32"/>
          <w:sz w:val="27"/>
          <w:szCs w:val="27"/>
          <w:lang w:val="en-US" w:eastAsia="pl-PL"/>
        </w:rPr>
        <w:t xml:space="preserve"> value of an instrument due to illiquidity. This guidance focuses on the current valuation of the instrument and is a separate concern from the risk that market conditions and variables might change before the instrument is liquidated (or closed out).</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In December 2010, the Committee issued the Basel III rules text, covering details of reforms to bank regulatory standards agreed by the Governors and Heads of Supervision and endorsed by the G20 Leaders earlier that year. Three changes of the Basel III package relate to the capital treatment of trading activities and market risk: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 xml:space="preserve">• </w:t>
      </w:r>
      <w:r w:rsidRPr="00141AC1">
        <w:rPr>
          <w:rFonts w:ascii="Helvetica" w:eastAsia="Times New Roman" w:hAnsi="Helvetica" w:cs="Helvetica"/>
          <w:b/>
          <w:i/>
          <w:color w:val="0A1B32"/>
          <w:sz w:val="27"/>
          <w:szCs w:val="27"/>
          <w:lang w:val="en-US" w:eastAsia="pl-PL"/>
        </w:rPr>
        <w:t>Capital charges against credit valuation adjustment (CVA) volatility risk</w:t>
      </w:r>
      <w:r w:rsidRPr="00D05D57">
        <w:rPr>
          <w:rFonts w:ascii="Helvetica" w:eastAsia="Times New Roman" w:hAnsi="Helvetica" w:cs="Helvetica"/>
          <w:i/>
          <w:color w:val="0A1B32"/>
          <w:sz w:val="27"/>
          <w:szCs w:val="27"/>
          <w:lang w:val="en-US" w:eastAsia="pl-PL"/>
        </w:rPr>
        <w:t xml:space="preserve">: The Committee made a number of amendments to strengthen the counterparty credit risk framework. Among the most important elements of the reform package was a requirement that banks be subject to a capital charge against potential mark-to-market losses associated with deterioration in the creditworthiness of a counterparty (CVA risk). Most of the affected instruments, such as OTC derivatives and securities financing transactions (SFTs), are held in the trading book.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w:t>
      </w:r>
      <w:r w:rsidRPr="00141AC1">
        <w:rPr>
          <w:rFonts w:ascii="Helvetica" w:eastAsia="Times New Roman" w:hAnsi="Helvetica" w:cs="Helvetica"/>
          <w:b/>
          <w:i/>
          <w:color w:val="0A1B32"/>
          <w:sz w:val="27"/>
          <w:szCs w:val="27"/>
          <w:lang w:val="en-US" w:eastAsia="pl-PL"/>
        </w:rPr>
        <w:t xml:space="preserve">Treatment of </w:t>
      </w:r>
      <w:proofErr w:type="spellStart"/>
      <w:r w:rsidRPr="00141AC1">
        <w:rPr>
          <w:rFonts w:ascii="Helvetica" w:eastAsia="Times New Roman" w:hAnsi="Helvetica" w:cs="Helvetica"/>
          <w:b/>
          <w:i/>
          <w:color w:val="0A1B32"/>
          <w:sz w:val="27"/>
          <w:szCs w:val="27"/>
          <w:lang w:val="en-US" w:eastAsia="pl-PL"/>
        </w:rPr>
        <w:t>unrealised</w:t>
      </w:r>
      <w:proofErr w:type="spellEnd"/>
      <w:r w:rsidRPr="00141AC1">
        <w:rPr>
          <w:rFonts w:ascii="Helvetica" w:eastAsia="Times New Roman" w:hAnsi="Helvetica" w:cs="Helvetica"/>
          <w:b/>
          <w:i/>
          <w:color w:val="0A1B32"/>
          <w:sz w:val="27"/>
          <w:szCs w:val="27"/>
          <w:lang w:val="en-US" w:eastAsia="pl-PL"/>
        </w:rPr>
        <w:t xml:space="preserve"> gains and losses</w:t>
      </w:r>
      <w:r w:rsidRPr="00D05D57">
        <w:rPr>
          <w:rFonts w:ascii="Helvetica" w:eastAsia="Times New Roman" w:hAnsi="Helvetica" w:cs="Helvetica"/>
          <w:i/>
          <w:color w:val="0A1B32"/>
          <w:sz w:val="27"/>
          <w:szCs w:val="27"/>
          <w:lang w:val="en-US" w:eastAsia="pl-PL"/>
        </w:rPr>
        <w:t xml:space="preserve">: Under the changes to the definition of capital, </w:t>
      </w:r>
      <w:proofErr w:type="spellStart"/>
      <w:r w:rsidRPr="00D05D57">
        <w:rPr>
          <w:rFonts w:ascii="Helvetica" w:eastAsia="Times New Roman" w:hAnsi="Helvetica" w:cs="Helvetica"/>
          <w:i/>
          <w:color w:val="0A1B32"/>
          <w:sz w:val="27"/>
          <w:szCs w:val="27"/>
          <w:lang w:val="en-US" w:eastAsia="pl-PL"/>
        </w:rPr>
        <w:t>unrealised</w:t>
      </w:r>
      <w:proofErr w:type="spellEnd"/>
      <w:r w:rsidRPr="00D05D57">
        <w:rPr>
          <w:rFonts w:ascii="Helvetica" w:eastAsia="Times New Roman" w:hAnsi="Helvetica" w:cs="Helvetica"/>
          <w:i/>
          <w:color w:val="0A1B32"/>
          <w:sz w:val="27"/>
          <w:szCs w:val="27"/>
          <w:lang w:val="en-US" w:eastAsia="pl-PL"/>
        </w:rPr>
        <w:t xml:space="preserve"> gains and losses will no longer be filtered out of Common Equity Tier 1 capital. This means that changes to the valuation of all financial instruments held at fair value for accounting purposes will flow directly through to regulatory capital resources.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w:t>
      </w:r>
      <w:r w:rsidRPr="00141AC1">
        <w:rPr>
          <w:rFonts w:ascii="Helvetica" w:eastAsia="Times New Roman" w:hAnsi="Helvetica" w:cs="Helvetica"/>
          <w:b/>
          <w:i/>
          <w:color w:val="0A1B32"/>
          <w:sz w:val="27"/>
          <w:szCs w:val="27"/>
          <w:lang w:val="en-US" w:eastAsia="pl-PL"/>
        </w:rPr>
        <w:t>Eligible capital for trading book risks</w:t>
      </w:r>
      <w:r w:rsidRPr="00D05D57">
        <w:rPr>
          <w:rFonts w:ascii="Helvetica" w:eastAsia="Times New Roman" w:hAnsi="Helvetica" w:cs="Helvetica"/>
          <w:i/>
          <w:color w:val="0A1B32"/>
          <w:sz w:val="27"/>
          <w:szCs w:val="27"/>
          <w:lang w:val="en-US" w:eastAsia="pl-PL"/>
        </w:rPr>
        <w:t>: As part of the general improvements in the quality of eligible regulatory capital, Tier 3 capital, previously available to meet market risks, will no longer form part of the regulatory capital structure.</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 xml:space="preserve">Drawbacks of the current market risk regime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July 2009 amendments to the market risk framework were judged by the Committee to be an essential immediate response to the severe </w:t>
      </w:r>
      <w:proofErr w:type="spellStart"/>
      <w:r w:rsidRPr="00D05D57">
        <w:rPr>
          <w:rFonts w:ascii="Helvetica" w:eastAsia="Times New Roman" w:hAnsi="Helvetica" w:cs="Helvetica"/>
          <w:i/>
          <w:color w:val="0A1B32"/>
          <w:sz w:val="27"/>
          <w:szCs w:val="27"/>
          <w:lang w:val="en-US" w:eastAsia="pl-PL"/>
        </w:rPr>
        <w:t>undercapitalisation</w:t>
      </w:r>
      <w:proofErr w:type="spellEnd"/>
      <w:r w:rsidRPr="00D05D57">
        <w:rPr>
          <w:rFonts w:ascii="Helvetica" w:eastAsia="Times New Roman" w:hAnsi="Helvetica" w:cs="Helvetica"/>
          <w:i/>
          <w:color w:val="0A1B32"/>
          <w:sz w:val="27"/>
          <w:szCs w:val="27"/>
          <w:lang w:val="en-US" w:eastAsia="pl-PL"/>
        </w:rPr>
        <w:t xml:space="preserve"> of banks’ trading books. But from the onset, the Committee also </w:t>
      </w:r>
      <w:proofErr w:type="spellStart"/>
      <w:r w:rsidRPr="00D05D57">
        <w:rPr>
          <w:rFonts w:ascii="Helvetica" w:eastAsia="Times New Roman" w:hAnsi="Helvetica" w:cs="Helvetica"/>
          <w:i/>
          <w:color w:val="0A1B32"/>
          <w:sz w:val="27"/>
          <w:szCs w:val="27"/>
          <w:lang w:val="en-US" w:eastAsia="pl-PL"/>
        </w:rPr>
        <w:t>recognised</w:t>
      </w:r>
      <w:proofErr w:type="spellEnd"/>
      <w:r w:rsidRPr="00D05D57">
        <w:rPr>
          <w:rFonts w:ascii="Helvetica" w:eastAsia="Times New Roman" w:hAnsi="Helvetica" w:cs="Helvetica"/>
          <w:i/>
          <w:color w:val="0A1B32"/>
          <w:sz w:val="27"/>
          <w:szCs w:val="27"/>
          <w:lang w:val="en-US" w:eastAsia="pl-PL"/>
        </w:rPr>
        <w:t xml:space="preserve"> the need for initiating a longer term, fundamental review of the risk-based capital framework for trading activities. In part this is because the current treatment of market risk exposures, while a material improvement relative to the previous regime, does not address all of the shortcomings highlighted in Annex 1 and suffers from a number of drawbacks: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w:t>
      </w:r>
      <w:r w:rsidRPr="00141AC1">
        <w:rPr>
          <w:rFonts w:ascii="Helvetica" w:eastAsia="Times New Roman" w:hAnsi="Helvetica" w:cs="Helvetica"/>
          <w:b/>
          <w:i/>
          <w:color w:val="0A1B32"/>
          <w:sz w:val="27"/>
          <w:szCs w:val="27"/>
          <w:lang w:val="en-US" w:eastAsia="pl-PL"/>
        </w:rPr>
        <w:t>The framework lacks coherence</w:t>
      </w:r>
      <w:r w:rsidRPr="00D05D57">
        <w:rPr>
          <w:rFonts w:ascii="Helvetica" w:eastAsia="Times New Roman" w:hAnsi="Helvetica" w:cs="Helvetica"/>
          <w:i/>
          <w:color w:val="0A1B32"/>
          <w:sz w:val="27"/>
          <w:szCs w:val="27"/>
          <w:lang w:val="en-US" w:eastAsia="pl-PL"/>
        </w:rPr>
        <w:t xml:space="preserve">: The current framework does not have a single, overarching view of how trading risks should be </w:t>
      </w:r>
      <w:proofErr w:type="spellStart"/>
      <w:r w:rsidRPr="00D05D57">
        <w:rPr>
          <w:rFonts w:ascii="Helvetica" w:eastAsia="Times New Roman" w:hAnsi="Helvetica" w:cs="Helvetica"/>
          <w:i/>
          <w:color w:val="0A1B32"/>
          <w:sz w:val="27"/>
          <w:szCs w:val="27"/>
          <w:lang w:val="en-US" w:eastAsia="pl-PL"/>
        </w:rPr>
        <w:t>categorised</w:t>
      </w:r>
      <w:proofErr w:type="spellEnd"/>
      <w:r w:rsidRPr="00D05D57">
        <w:rPr>
          <w:rFonts w:ascii="Helvetica" w:eastAsia="Times New Roman" w:hAnsi="Helvetica" w:cs="Helvetica"/>
          <w:i/>
          <w:color w:val="0A1B32"/>
          <w:sz w:val="27"/>
          <w:szCs w:val="27"/>
          <w:lang w:val="en-US" w:eastAsia="pl-PL"/>
        </w:rPr>
        <w:t xml:space="preserve"> and </w:t>
      </w:r>
      <w:proofErr w:type="spellStart"/>
      <w:r w:rsidRPr="00D05D57">
        <w:rPr>
          <w:rFonts w:ascii="Helvetica" w:eastAsia="Times New Roman" w:hAnsi="Helvetica" w:cs="Helvetica"/>
          <w:i/>
          <w:color w:val="0A1B32"/>
          <w:sz w:val="27"/>
          <w:szCs w:val="27"/>
          <w:lang w:val="en-US" w:eastAsia="pl-PL"/>
        </w:rPr>
        <w:t>capitalised</w:t>
      </w:r>
      <w:proofErr w:type="spellEnd"/>
      <w:r w:rsidRPr="00D05D57">
        <w:rPr>
          <w:rFonts w:ascii="Helvetica" w:eastAsia="Times New Roman" w:hAnsi="Helvetica" w:cs="Helvetica"/>
          <w:i/>
          <w:color w:val="0A1B32"/>
          <w:sz w:val="27"/>
          <w:szCs w:val="27"/>
          <w:lang w:val="en-US" w:eastAsia="pl-PL"/>
        </w:rPr>
        <w:t xml:space="preserve">, leading to the concern that some capital charges appear overlapping, for example, the additive approach taken for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and stressed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Moreover, the diverse array of capital charges within the amended framework requires the development and validation of several distinct sets of models. These not only require a substantial amount of bank resources to maintain but have also put a severe strain on supervisory oversight.</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 </w:t>
      </w:r>
      <w:r w:rsidRPr="00141AC1">
        <w:rPr>
          <w:rFonts w:ascii="Helvetica" w:eastAsia="Times New Roman" w:hAnsi="Helvetica" w:cs="Helvetica"/>
          <w:b/>
          <w:i/>
          <w:color w:val="0A1B32"/>
          <w:sz w:val="27"/>
          <w:szCs w:val="27"/>
          <w:lang w:val="en-US" w:eastAsia="pl-PL"/>
        </w:rPr>
        <w:t>The boundary issue has not been fully addressed</w:t>
      </w:r>
      <w:r w:rsidRPr="00D05D57">
        <w:rPr>
          <w:rFonts w:ascii="Helvetica" w:eastAsia="Times New Roman" w:hAnsi="Helvetica" w:cs="Helvetica"/>
          <w:i/>
          <w:color w:val="0A1B32"/>
          <w:sz w:val="27"/>
          <w:szCs w:val="27"/>
          <w:lang w:val="en-US" w:eastAsia="pl-PL"/>
        </w:rPr>
        <w:t xml:space="preserve">: The July 2009 revisions to the market risk framework made only minor amendments regarding the set of products that should be excluded from the trading book. However, </w:t>
      </w:r>
      <w:proofErr w:type="spellStart"/>
      <w:r w:rsidRPr="00D05D57">
        <w:rPr>
          <w:rFonts w:ascii="Helvetica" w:eastAsia="Times New Roman" w:hAnsi="Helvetica" w:cs="Helvetica"/>
          <w:i/>
          <w:color w:val="0A1B32"/>
          <w:sz w:val="27"/>
          <w:szCs w:val="27"/>
          <w:lang w:val="en-US" w:eastAsia="pl-PL"/>
        </w:rPr>
        <w:t>securitisation</w:t>
      </w:r>
      <w:proofErr w:type="spellEnd"/>
      <w:r w:rsidRPr="00D05D57">
        <w:rPr>
          <w:rFonts w:ascii="Helvetica" w:eastAsia="Times New Roman" w:hAnsi="Helvetica" w:cs="Helvetica"/>
          <w:i/>
          <w:color w:val="0A1B32"/>
          <w:sz w:val="27"/>
          <w:szCs w:val="27"/>
          <w:lang w:val="en-US" w:eastAsia="pl-PL"/>
        </w:rPr>
        <w:t xml:space="preserve"> exposures other than those eligible for the correlation </w:t>
      </w:r>
      <w:r w:rsidRPr="00D05D57">
        <w:rPr>
          <w:rFonts w:ascii="Helvetica" w:eastAsia="Times New Roman" w:hAnsi="Helvetica" w:cs="Helvetica"/>
          <w:i/>
          <w:color w:val="0A1B32"/>
          <w:sz w:val="27"/>
          <w:szCs w:val="27"/>
          <w:lang w:val="en-US" w:eastAsia="pl-PL"/>
        </w:rPr>
        <w:lastRenderedPageBreak/>
        <w:t xml:space="preserve">trading portfolio are treated broadly consistently across the regulatory boundary in the 2009 revisions. In spite of those amendments, similar risks continue to be treated differently across the balance sheet. For example, interest rate risk is only </w:t>
      </w:r>
      <w:proofErr w:type="spellStart"/>
      <w:r w:rsidRPr="00D05D57">
        <w:rPr>
          <w:rFonts w:ascii="Helvetica" w:eastAsia="Times New Roman" w:hAnsi="Helvetica" w:cs="Helvetica"/>
          <w:i/>
          <w:color w:val="0A1B32"/>
          <w:sz w:val="27"/>
          <w:szCs w:val="27"/>
          <w:lang w:val="en-US" w:eastAsia="pl-PL"/>
        </w:rPr>
        <w:t>capitalised</w:t>
      </w:r>
      <w:proofErr w:type="spellEnd"/>
      <w:r w:rsidRPr="00D05D57">
        <w:rPr>
          <w:rFonts w:ascii="Helvetica" w:eastAsia="Times New Roman" w:hAnsi="Helvetica" w:cs="Helvetica"/>
          <w:i/>
          <w:color w:val="0A1B32"/>
          <w:sz w:val="27"/>
          <w:szCs w:val="27"/>
          <w:lang w:val="en-US" w:eastAsia="pl-PL"/>
        </w:rPr>
        <w:t xml:space="preserve"> under the Pillar 1 regime if the bank runs this risk in its trading book. Differences in capital requirements across the regulatory boundary can foster incentives for banks to shift instruments to the regulatory regime that treats them more </w:t>
      </w:r>
      <w:proofErr w:type="spellStart"/>
      <w:r w:rsidRPr="00D05D57">
        <w:rPr>
          <w:rFonts w:ascii="Helvetica" w:eastAsia="Times New Roman" w:hAnsi="Helvetica" w:cs="Helvetica"/>
          <w:i/>
          <w:color w:val="0A1B32"/>
          <w:sz w:val="27"/>
          <w:szCs w:val="27"/>
          <w:lang w:val="en-US" w:eastAsia="pl-PL"/>
        </w:rPr>
        <w:t>favourably</w:t>
      </w:r>
      <w:proofErr w:type="spellEnd"/>
      <w:r w:rsidRPr="00D05D57">
        <w:rPr>
          <w:rFonts w:ascii="Helvetica" w:eastAsia="Times New Roman" w:hAnsi="Helvetica" w:cs="Helvetica"/>
          <w:i/>
          <w:color w:val="0A1B32"/>
          <w:sz w:val="27"/>
          <w:szCs w:val="27"/>
          <w:lang w:val="en-US" w:eastAsia="pl-PL"/>
        </w:rPr>
        <w:t xml:space="preserve">. Where the boundary is not well monitored, banks could act upon those incentives.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w:t>
      </w:r>
      <w:r w:rsidRPr="00141AC1">
        <w:rPr>
          <w:rFonts w:ascii="Helvetica" w:eastAsia="Times New Roman" w:hAnsi="Helvetica" w:cs="Helvetica"/>
          <w:b/>
          <w:i/>
          <w:color w:val="0A1B32"/>
          <w:sz w:val="27"/>
          <w:szCs w:val="27"/>
          <w:lang w:val="en-US" w:eastAsia="pl-PL"/>
        </w:rPr>
        <w:t>Market liquidity risk is not evenly captured</w:t>
      </w:r>
      <w:r w:rsidRPr="00D05D57">
        <w:rPr>
          <w:rFonts w:ascii="Helvetica" w:eastAsia="Times New Roman" w:hAnsi="Helvetica" w:cs="Helvetica"/>
          <w:i/>
          <w:color w:val="0A1B32"/>
          <w:sz w:val="27"/>
          <w:szCs w:val="27"/>
          <w:lang w:val="en-US" w:eastAsia="pl-PL"/>
        </w:rPr>
        <w:t xml:space="preserve">: Although the July 2009 revisions introduce elements that better capture market liquidity risk, they are not comprehensive or complete. The IRC and CRM metrics introduce the concept of varying liquidity horizons to account for the fact that banks might be unable to exit risk positions in short time periods due to market illiquidity. But </w:t>
      </w:r>
      <w:r w:rsidRPr="00141AC1">
        <w:rPr>
          <w:rFonts w:ascii="Helvetica" w:eastAsia="Times New Roman" w:hAnsi="Helvetica" w:cs="Helvetica"/>
          <w:b/>
          <w:i/>
          <w:color w:val="0A1B32"/>
          <w:sz w:val="27"/>
          <w:szCs w:val="27"/>
          <w:lang w:val="en-US" w:eastAsia="pl-PL"/>
        </w:rPr>
        <w:t>the IRC and CRM</w:t>
      </w:r>
      <w:r w:rsidRPr="00D05D57">
        <w:rPr>
          <w:rFonts w:ascii="Helvetica" w:eastAsia="Times New Roman" w:hAnsi="Helvetica" w:cs="Helvetica"/>
          <w:i/>
          <w:color w:val="0A1B32"/>
          <w:sz w:val="27"/>
          <w:szCs w:val="27"/>
          <w:lang w:val="en-US" w:eastAsia="pl-PL"/>
        </w:rPr>
        <w:t xml:space="preserve"> cover mainly credit-related exposures and focus on default and credit rating migration risk. Similarly, stressed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implicitly captures variations in </w:t>
      </w:r>
      <w:r w:rsidRPr="00141AC1">
        <w:rPr>
          <w:rFonts w:ascii="Helvetica" w:eastAsia="Times New Roman" w:hAnsi="Helvetica" w:cs="Helvetica"/>
          <w:b/>
          <w:i/>
          <w:color w:val="0A1B32"/>
          <w:sz w:val="27"/>
          <w:szCs w:val="27"/>
          <w:lang w:val="en-US" w:eastAsia="pl-PL"/>
        </w:rPr>
        <w:t xml:space="preserve">liquidity </w:t>
      </w:r>
      <w:proofErr w:type="spellStart"/>
      <w:r w:rsidRPr="00141AC1">
        <w:rPr>
          <w:rFonts w:ascii="Helvetica" w:eastAsia="Times New Roman" w:hAnsi="Helvetica" w:cs="Helvetica"/>
          <w:b/>
          <w:i/>
          <w:color w:val="0A1B32"/>
          <w:sz w:val="27"/>
          <w:szCs w:val="27"/>
          <w:lang w:val="en-US" w:eastAsia="pl-PL"/>
        </w:rPr>
        <w:t>premia</w:t>
      </w:r>
      <w:proofErr w:type="spellEnd"/>
      <w:r w:rsidRPr="00D05D57">
        <w:rPr>
          <w:rFonts w:ascii="Helvetica" w:eastAsia="Times New Roman" w:hAnsi="Helvetica" w:cs="Helvetica"/>
          <w:i/>
          <w:color w:val="0A1B32"/>
          <w:sz w:val="27"/>
          <w:szCs w:val="27"/>
          <w:lang w:val="en-US" w:eastAsia="pl-PL"/>
        </w:rPr>
        <w:t xml:space="preserve"> in times of stress. However, stressed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is still based on a 10-day holding period which is, almost by definition, insufficient to capture the risks associated with market illiquidity. Moreover, stressed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implicitly assumes that the markets most likely to turn illiquid in the future are those that turned illiquid in a previously observed period of stress.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w:t>
      </w:r>
      <w:r w:rsidRPr="00141AC1">
        <w:rPr>
          <w:rFonts w:ascii="Helvetica" w:eastAsia="Times New Roman" w:hAnsi="Helvetica" w:cs="Helvetica"/>
          <w:b/>
          <w:i/>
          <w:color w:val="0A1B32"/>
          <w:sz w:val="27"/>
          <w:szCs w:val="27"/>
          <w:lang w:val="en-US" w:eastAsia="pl-PL"/>
        </w:rPr>
        <w:t>The bank-specific notion of risk is upheld</w:t>
      </w:r>
      <w:r w:rsidRPr="00D05D57">
        <w:rPr>
          <w:rFonts w:ascii="Helvetica" w:eastAsia="Times New Roman" w:hAnsi="Helvetica" w:cs="Helvetica"/>
          <w:i/>
          <w:color w:val="0A1B32"/>
          <w:sz w:val="27"/>
          <w:szCs w:val="27"/>
          <w:lang w:val="en-US" w:eastAsia="pl-PL"/>
        </w:rPr>
        <w:t xml:space="preserve">: Many of the new approaches are still based on a bank-specific view of risk. For example, stressed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still relies on an implicit assumption that all banks can exit or hedge their risks within a 10-day horizon, which was not the case in the recent crisis as many banks tried to exit risk positions simultaneously.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w:t>
      </w:r>
      <w:proofErr w:type="spellStart"/>
      <w:r w:rsidRPr="00141AC1">
        <w:rPr>
          <w:rFonts w:ascii="Helvetica" w:eastAsia="Times New Roman" w:hAnsi="Helvetica" w:cs="Helvetica"/>
          <w:b/>
          <w:i/>
          <w:color w:val="0A1B32"/>
          <w:sz w:val="27"/>
          <w:szCs w:val="27"/>
          <w:lang w:val="en-US" w:eastAsia="pl-PL"/>
        </w:rPr>
        <w:t>Standardised</w:t>
      </w:r>
      <w:proofErr w:type="spellEnd"/>
      <w:r w:rsidRPr="00141AC1">
        <w:rPr>
          <w:rFonts w:ascii="Helvetica" w:eastAsia="Times New Roman" w:hAnsi="Helvetica" w:cs="Helvetica"/>
          <w:b/>
          <w:i/>
          <w:color w:val="0A1B32"/>
          <w:sz w:val="27"/>
          <w:szCs w:val="27"/>
          <w:lang w:val="en-US" w:eastAsia="pl-PL"/>
        </w:rPr>
        <w:t xml:space="preserve"> approach problems remain unaddressed</w:t>
      </w:r>
      <w:r w:rsidRPr="00D05D57">
        <w:rPr>
          <w:rFonts w:ascii="Helvetica" w:eastAsia="Times New Roman" w:hAnsi="Helvetica" w:cs="Helvetica"/>
          <w:i/>
          <w:color w:val="0A1B32"/>
          <w:sz w:val="27"/>
          <w:szCs w:val="27"/>
          <w:lang w:val="en-US" w:eastAsia="pl-PL"/>
        </w:rPr>
        <w:t xml:space="preserve">: The July 2009 revisions to the market risk framework did not fundamentally change the </w:t>
      </w:r>
      <w:proofErr w:type="spellStart"/>
      <w:r w:rsidRPr="00D05D57">
        <w:rPr>
          <w:rFonts w:ascii="Helvetica" w:eastAsia="Times New Roman" w:hAnsi="Helvetica" w:cs="Helvetica"/>
          <w:i/>
          <w:color w:val="0A1B32"/>
          <w:sz w:val="27"/>
          <w:szCs w:val="27"/>
          <w:lang w:val="en-US" w:eastAsia="pl-PL"/>
        </w:rPr>
        <w:t>standardised</w:t>
      </w:r>
      <w:proofErr w:type="spellEnd"/>
      <w:r w:rsidRPr="00D05D57">
        <w:rPr>
          <w:rFonts w:ascii="Helvetica" w:eastAsia="Times New Roman" w:hAnsi="Helvetica" w:cs="Helvetica"/>
          <w:i/>
          <w:color w:val="0A1B32"/>
          <w:sz w:val="27"/>
          <w:szCs w:val="27"/>
          <w:lang w:val="en-US" w:eastAsia="pl-PL"/>
        </w:rPr>
        <w:t xml:space="preserve"> approach for market risk. The revisions did adjust some risk weights for equity specific risk and required banking book risk weights for the </w:t>
      </w:r>
      <w:proofErr w:type="spellStart"/>
      <w:r w:rsidRPr="00D05D57">
        <w:rPr>
          <w:rFonts w:ascii="Helvetica" w:eastAsia="Times New Roman" w:hAnsi="Helvetica" w:cs="Helvetica"/>
          <w:i/>
          <w:color w:val="0A1B32"/>
          <w:sz w:val="27"/>
          <w:szCs w:val="27"/>
          <w:lang w:val="en-US" w:eastAsia="pl-PL"/>
        </w:rPr>
        <w:t>capitalisation</w:t>
      </w:r>
      <w:proofErr w:type="spellEnd"/>
      <w:r w:rsidRPr="00D05D57">
        <w:rPr>
          <w:rFonts w:ascii="Helvetica" w:eastAsia="Times New Roman" w:hAnsi="Helvetica" w:cs="Helvetica"/>
          <w:i/>
          <w:color w:val="0A1B32"/>
          <w:sz w:val="27"/>
          <w:szCs w:val="27"/>
          <w:lang w:val="en-US" w:eastAsia="pl-PL"/>
        </w:rPr>
        <w:t xml:space="preserve"> of specific interest rate risk in </w:t>
      </w:r>
      <w:proofErr w:type="spellStart"/>
      <w:r w:rsidRPr="00D05D57">
        <w:rPr>
          <w:rFonts w:ascii="Helvetica" w:eastAsia="Times New Roman" w:hAnsi="Helvetica" w:cs="Helvetica"/>
          <w:i/>
          <w:color w:val="0A1B32"/>
          <w:sz w:val="27"/>
          <w:szCs w:val="27"/>
          <w:lang w:val="en-US" w:eastAsia="pl-PL"/>
        </w:rPr>
        <w:t>securitisations</w:t>
      </w:r>
      <w:proofErr w:type="spellEnd"/>
      <w:r w:rsidRPr="00D05D57">
        <w:rPr>
          <w:rFonts w:ascii="Helvetica" w:eastAsia="Times New Roman" w:hAnsi="Helvetica" w:cs="Helvetica"/>
          <w:i/>
          <w:color w:val="0A1B32"/>
          <w:sz w:val="27"/>
          <w:szCs w:val="27"/>
          <w:lang w:val="en-US" w:eastAsia="pl-PL"/>
        </w:rPr>
        <w:t xml:space="preserve">. But the structural shortcomings of the </w:t>
      </w:r>
      <w:proofErr w:type="spellStart"/>
      <w:r w:rsidRPr="00D05D57">
        <w:rPr>
          <w:rFonts w:ascii="Helvetica" w:eastAsia="Times New Roman" w:hAnsi="Helvetica" w:cs="Helvetica"/>
          <w:i/>
          <w:color w:val="0A1B32"/>
          <w:sz w:val="27"/>
          <w:szCs w:val="27"/>
          <w:lang w:val="en-US" w:eastAsia="pl-PL"/>
        </w:rPr>
        <w:t>standardised</w:t>
      </w:r>
      <w:proofErr w:type="spellEnd"/>
      <w:r w:rsidRPr="00D05D57">
        <w:rPr>
          <w:rFonts w:ascii="Helvetica" w:eastAsia="Times New Roman" w:hAnsi="Helvetica" w:cs="Helvetica"/>
          <w:i/>
          <w:color w:val="0A1B32"/>
          <w:sz w:val="27"/>
          <w:szCs w:val="27"/>
          <w:lang w:val="en-US" w:eastAsia="pl-PL"/>
        </w:rPr>
        <w:t xml:space="preserve"> approach remain unaddressed.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There remains a lack of credible options for withdrawal of model approval: Aside from multipliers on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xml:space="preserve"> and stressed </w:t>
      </w:r>
      <w:proofErr w:type="spellStart"/>
      <w:r w:rsidRPr="00D05D57">
        <w:rPr>
          <w:rFonts w:ascii="Helvetica" w:eastAsia="Times New Roman" w:hAnsi="Helvetica" w:cs="Helvetica"/>
          <w:i/>
          <w:color w:val="0A1B32"/>
          <w:sz w:val="27"/>
          <w:szCs w:val="27"/>
          <w:lang w:val="en-US" w:eastAsia="pl-PL"/>
        </w:rPr>
        <w:t>VaR</w:t>
      </w:r>
      <w:proofErr w:type="spellEnd"/>
      <w:r w:rsidRPr="00D05D57">
        <w:rPr>
          <w:rFonts w:ascii="Helvetica" w:eastAsia="Times New Roman" w:hAnsi="Helvetica" w:cs="Helvetica"/>
          <w:i/>
          <w:color w:val="0A1B32"/>
          <w:sz w:val="27"/>
          <w:szCs w:val="27"/>
          <w:lang w:val="en-US" w:eastAsia="pl-PL"/>
        </w:rPr>
        <w:t>, there are limited options for supervisors to deal with poorly-specified internal models. The approaches adopted to backstop the CRM (</w:t>
      </w:r>
      <w:proofErr w:type="spellStart"/>
      <w:r w:rsidRPr="00D05D57">
        <w:rPr>
          <w:rFonts w:ascii="Helvetica" w:eastAsia="Times New Roman" w:hAnsi="Helvetica" w:cs="Helvetica"/>
          <w:i/>
          <w:color w:val="0A1B32"/>
          <w:sz w:val="27"/>
          <w:szCs w:val="27"/>
          <w:lang w:val="en-US" w:eastAsia="pl-PL"/>
        </w:rPr>
        <w:t>standardised</w:t>
      </w:r>
      <w:proofErr w:type="spellEnd"/>
      <w:r w:rsidRPr="00D05D57">
        <w:rPr>
          <w:rFonts w:ascii="Helvetica" w:eastAsia="Times New Roman" w:hAnsi="Helvetica" w:cs="Helvetica"/>
          <w:i/>
          <w:color w:val="0A1B32"/>
          <w:sz w:val="27"/>
          <w:szCs w:val="27"/>
          <w:lang w:val="en-US" w:eastAsia="pl-PL"/>
        </w:rPr>
        <w:t xml:space="preserve"> floor and supplemental capital add-ons from prescribed stress tests) suggest possible alternatives for limiting the reliance on models. The evaluation of </w:t>
      </w:r>
      <w:proofErr w:type="spellStart"/>
      <w:r w:rsidRPr="00D05D57">
        <w:rPr>
          <w:rFonts w:ascii="Helvetica" w:eastAsia="Times New Roman" w:hAnsi="Helvetica" w:cs="Helvetica"/>
          <w:i/>
          <w:color w:val="0A1B32"/>
          <w:sz w:val="27"/>
          <w:szCs w:val="27"/>
          <w:lang w:val="en-US" w:eastAsia="pl-PL"/>
        </w:rPr>
        <w:t>backtesting</w:t>
      </w:r>
      <w:proofErr w:type="spellEnd"/>
      <w:r w:rsidRPr="00D05D57">
        <w:rPr>
          <w:rFonts w:ascii="Helvetica" w:eastAsia="Times New Roman" w:hAnsi="Helvetica" w:cs="Helvetica"/>
          <w:i/>
          <w:color w:val="0A1B32"/>
          <w:sz w:val="27"/>
          <w:szCs w:val="27"/>
          <w:lang w:val="en-US" w:eastAsia="pl-PL"/>
        </w:rPr>
        <w:t xml:space="preserve"> results also suggests a need for regulators to determine specific areas of imprecision, versus focusing on the top-of-the-house risk measure.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 xml:space="preserve">• </w:t>
      </w:r>
      <w:r w:rsidRPr="00141AC1">
        <w:rPr>
          <w:rFonts w:ascii="Helvetica" w:eastAsia="Times New Roman" w:hAnsi="Helvetica" w:cs="Helvetica"/>
          <w:b/>
          <w:i/>
          <w:color w:val="0A1B32"/>
          <w:sz w:val="27"/>
          <w:szCs w:val="27"/>
          <w:lang w:val="en-US" w:eastAsia="pl-PL"/>
        </w:rPr>
        <w:t>The relationship between the capital charges for CVA risk and the trading book regime has not been clarified</w:t>
      </w:r>
      <w:r w:rsidRPr="00D05D57">
        <w:rPr>
          <w:rFonts w:ascii="Helvetica" w:eastAsia="Times New Roman" w:hAnsi="Helvetica" w:cs="Helvetica"/>
          <w:i/>
          <w:color w:val="0A1B32"/>
          <w:sz w:val="27"/>
          <w:szCs w:val="27"/>
          <w:lang w:val="en-US" w:eastAsia="pl-PL"/>
        </w:rPr>
        <w:t>: The introduction of the new capital charge for CVA risk under Basel III uses elements of the market risk framework. In fact, in the advanced approach, CVA risk is measured through the internal market risk models. This makes it advisable to consider the treatment of CVA risks in the revised market risk framework.</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 xml:space="preserve">Options for a new boundary to address current observed weaknesses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No new boundary will fix all known issues with the current boundary without presenting some further difficulties. Therefore, in considering alternative options, their advantages and disadvantages need to be assessed. The Committee </w:t>
      </w:r>
      <w:proofErr w:type="spellStart"/>
      <w:r w:rsidRPr="00D05D57">
        <w:rPr>
          <w:rFonts w:ascii="Helvetica" w:eastAsia="Times New Roman" w:hAnsi="Helvetica" w:cs="Helvetica"/>
          <w:i/>
          <w:color w:val="0A1B32"/>
          <w:sz w:val="27"/>
          <w:szCs w:val="27"/>
          <w:lang w:val="en-US" w:eastAsia="pl-PL"/>
        </w:rPr>
        <w:t>recognises</w:t>
      </w:r>
      <w:proofErr w:type="spellEnd"/>
      <w:r w:rsidRPr="00D05D57">
        <w:rPr>
          <w:rFonts w:ascii="Helvetica" w:eastAsia="Times New Roman" w:hAnsi="Helvetica" w:cs="Helvetica"/>
          <w:i/>
          <w:color w:val="0A1B32"/>
          <w:sz w:val="27"/>
          <w:szCs w:val="27"/>
          <w:lang w:val="en-US" w:eastAsia="pl-PL"/>
        </w:rPr>
        <w:t xml:space="preserve"> that any disadvantages and unresolved issues identified from the ultimate choice of boundary will need to be addressed by other changes to the capital regime. This clearly includes the proposed revisions to trading book capital requirements stemming from the fundamental review. The Committee has considered a range of options for the basis of a revised trading book boundary, in addition to the removal of the boundary: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(a) Trading intent of bank management (a “trading evidence-based boundary”);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(b) Functions provided by the bank, </w:t>
      </w:r>
      <w:proofErr w:type="spellStart"/>
      <w:r w:rsidRPr="00D05D57">
        <w:rPr>
          <w:rFonts w:ascii="Helvetica" w:eastAsia="Times New Roman" w:hAnsi="Helvetica" w:cs="Helvetica"/>
          <w:i/>
          <w:color w:val="0A1B32"/>
          <w:sz w:val="27"/>
          <w:szCs w:val="27"/>
          <w:lang w:val="en-US" w:eastAsia="pl-PL"/>
        </w:rPr>
        <w:t>eg</w:t>
      </w:r>
      <w:proofErr w:type="spellEnd"/>
      <w:r w:rsidRPr="00D05D57">
        <w:rPr>
          <w:rFonts w:ascii="Helvetica" w:eastAsia="Times New Roman" w:hAnsi="Helvetica" w:cs="Helvetica"/>
          <w:i/>
          <w:color w:val="0A1B32"/>
          <w:sz w:val="27"/>
          <w:szCs w:val="27"/>
          <w:lang w:val="en-US" w:eastAsia="pl-PL"/>
        </w:rPr>
        <w:t xml:space="preserve"> market making or underwriting;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(c) Real or perceived liquidity of instruments;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(d) Risk characteristics of instruments; and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(e) The valuation methodology applied to an instrument (a “valuation-based approach”).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Boundary options based on the characteristics of instruments, or the functions provided by the bank, have conceptual merits. Nevertheless, they were considered to be too subjective to deliver a boundary that could be subject to demonstrably consistent implementation within, and across, all jurisdictions. Of the remaining three boundary options considered, the Committee felt that the benefits of considering the liquidity of instruments could be better incorporated into revised capital requirements for the trading book (rather than in the definition of the trading book itself). The Committee therefore believes that there are two approaches that are most likely to meet the described objectives whilst addressing the issues of the current boundary. These approaches are described in more detail below, and a detailed comparison is included in Annex 3. A. </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lastRenderedPageBreak/>
        <w:t xml:space="preserve">A trading evidence-based boundary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trading evidence-based boundary is an enhanced version of the current intent-based boundary. As such, it retains the link between the regulatory trading book and the set of instruments which a bank deems to be held for the purposes of trading (or to hedge trading book risk positions), adding more objective evidential requirements to support this principle. Fundamental to this version of the boundary is a view that a bank’s intention in holding an instrument determines the risk management strategy applied to it, and therefore is the relevant characteristic for regulators in determining its capital requirements. The proposed enhancements to the core principle of “trading intent”, the most prominent of which are set out below, are intended to provide more objective criteria for entry to the trading book and therefore make the boundary more enforceable and consistent across jurisdictions: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As an entry requirement, instruments must be held for trading purposes (or to hedge trading book risk positions) and marked to market daily, with valuation changes </w:t>
      </w:r>
      <w:proofErr w:type="spellStart"/>
      <w:r w:rsidRPr="00D05D57">
        <w:rPr>
          <w:rFonts w:ascii="Helvetica" w:eastAsia="Times New Roman" w:hAnsi="Helvetica" w:cs="Helvetica"/>
          <w:i/>
          <w:color w:val="0A1B32"/>
          <w:sz w:val="27"/>
          <w:szCs w:val="27"/>
          <w:lang w:val="en-US" w:eastAsia="pl-PL"/>
        </w:rPr>
        <w:t>recognised</w:t>
      </w:r>
      <w:proofErr w:type="spellEnd"/>
      <w:r w:rsidRPr="00D05D57">
        <w:rPr>
          <w:rFonts w:ascii="Helvetica" w:eastAsia="Times New Roman" w:hAnsi="Helvetica" w:cs="Helvetica"/>
          <w:i/>
          <w:color w:val="0A1B32"/>
          <w:sz w:val="27"/>
          <w:szCs w:val="27"/>
          <w:lang w:val="en-US" w:eastAsia="pl-PL"/>
        </w:rPr>
        <w:t xml:space="preserve"> through the P&amp;L account, using market data that are sufficiently robust to support this frequency of valuation.</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 Banks would be required to have formal policies and documented practices for determining what instruments should be included in the trading book. This would include a description of what constitutes trading or hedging activity, and therefore what instruments should customarily be held in the trading book. </w:t>
      </w:r>
    </w:p>
    <w:p w:rsidR="00141AC1"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Banks would be subject to a requirement that internal control functions conduct ongoing evaluation of instruments both in and out of the trading book, to assess whether the bank’s instruments are being properly assigned as trading or </w:t>
      </w:r>
      <w:proofErr w:type="spellStart"/>
      <w:r w:rsidRPr="00D05D57">
        <w:rPr>
          <w:rFonts w:ascii="Helvetica" w:eastAsia="Times New Roman" w:hAnsi="Helvetica" w:cs="Helvetica"/>
          <w:i/>
          <w:color w:val="0A1B32"/>
          <w:sz w:val="27"/>
          <w:szCs w:val="27"/>
          <w:lang w:val="en-US" w:eastAsia="pl-PL"/>
        </w:rPr>
        <w:t>nontrading</w:t>
      </w:r>
      <w:proofErr w:type="spellEnd"/>
      <w:r w:rsidRPr="00D05D57">
        <w:rPr>
          <w:rFonts w:ascii="Helvetica" w:eastAsia="Times New Roman" w:hAnsi="Helvetica" w:cs="Helvetica"/>
          <w:i/>
          <w:color w:val="0A1B32"/>
          <w:sz w:val="27"/>
          <w:szCs w:val="27"/>
          <w:lang w:val="en-US" w:eastAsia="pl-PL"/>
        </w:rPr>
        <w:t xml:space="preserve"> instruments in the context of the bank’s trading activities. Banks would be required to provide objective evidence that trading instruments are actively managed. This would include setting, and enforcing, limits both on an instrument and on a risk position basis. Also, in addition to clearly documented hedging strategies, banks would be required to monitor market liquidity levels (including availability of market data) and also to specify an expected maximum holding period for instruments, with potential penalties (such as required valuation adjustments/increased supervisory scrutiny) if that period is exceeded.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There would be stricter requirements on the feasibility of trading an instrument, which would supplement a requirement to have trading/hedging intent. These would include proof of access to relevant markets for trading and hedging (such as historical data on trading in those markets, or a plausible plan for how a bank would trade on a market in which it had limited </w:t>
      </w:r>
      <w:r w:rsidRPr="00D05D57">
        <w:rPr>
          <w:rFonts w:ascii="Helvetica" w:eastAsia="Times New Roman" w:hAnsi="Helvetica" w:cs="Helvetica"/>
          <w:i/>
          <w:color w:val="0A1B32"/>
          <w:sz w:val="27"/>
          <w:szCs w:val="27"/>
          <w:lang w:val="en-US" w:eastAsia="pl-PL"/>
        </w:rPr>
        <w:lastRenderedPageBreak/>
        <w:t xml:space="preserve">experience). Banks would also need to meet minimum standards related to the periodic monitoring and assessment of the risk of trading instruments.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If the above supervisory criteria are not met, banks would be required to designate their instruments to the banking book. At the same time, there would be a strict limit on the ability of banks to move instruments between the trading book and the banking book after initial designation at their own choice, with movement only allowed in extraordinary circumstances which would be defined in the framework. Possible examples could be a major publicly announced event, such as a bank restructuring. Many of these controls – such as the requirement for trading policies and procedures – are not new, but would be strengthened with the more detailed objective metrics to be specified. A feature of this approach is that two banks could hold the same instrument but allocate it to different books, depending upon their intention with respect to the instrument, as long as the criteria specified above are met. Thus, banks could continue to have material exposures to fair valued instruments located in the regulatory banking book that are subject only to credit risk, and not to market risk, Pillar 1 capital requirements. As such, further consideration would need to be given to whether banking book capital requirements should be adjusted to address the risk posed by such instruments.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Possible advantages and disadvantages of the trading evidence-based approach </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 xml:space="preserve">Advantages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An instrument held with trading/hedging intent, provided it is feasible that it can be freely traded or completely hedged in the short-term, appears to naturally fit into the market risk framework. The proposed changes would seek to introduce more objective conditions to improve its enforceability.</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This approach requires fewer changes to the current boundary relative to valuation-based approaches (described below), and therefore would result in less disruption to banks and supervisors upon introduction.</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The instruments within the trading book would more closely resemble the instruments held within the parts of banks that are internally described and risk managed as “trading”, as well as to trading risk metrics, which should make the framework simpler for banks to implement, and easier for supervisors with trading expertise to oversee.</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 xml:space="preserve">Disadvantages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 The trading book boundary would still be under the control of banks, allowing them (restricted to some extent by the new conditions on the boundary) some flexibility to choose the designation of their instruments provided they are willing to fair value them daily through P&amp;L and accept treatment in the trading book as long as the bank holds the position.</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There would remain a set of fair valued instruments in the banking book, which would not receive Pillar 1 market risk capital requirements.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The consistency of the approach would rely on each jurisdiction performing sufficiently reasonable judgments on the feasibility of trading in different markets – leading to potential disparities in application across jurisdictions.</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A valuation-based boundary</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The core principle of the valuation-based boundary would move away from the concept of “trading intent” to instead construct a boundary that focuses on aligning the design and structure of regulatory capital charges with the risks posed by an instrument to the regulatory capital position of a bank. This approach would </w:t>
      </w:r>
      <w:proofErr w:type="spellStart"/>
      <w:r w:rsidRPr="00D05D57">
        <w:rPr>
          <w:rFonts w:ascii="Helvetica" w:eastAsia="Times New Roman" w:hAnsi="Helvetica" w:cs="Helvetica"/>
          <w:i/>
          <w:color w:val="0A1B32"/>
          <w:sz w:val="27"/>
          <w:szCs w:val="27"/>
          <w:lang w:val="en-US" w:eastAsia="pl-PL"/>
        </w:rPr>
        <w:t>recognise</w:t>
      </w:r>
      <w:proofErr w:type="spellEnd"/>
      <w:r w:rsidRPr="00D05D57">
        <w:rPr>
          <w:rFonts w:ascii="Helvetica" w:eastAsia="Times New Roman" w:hAnsi="Helvetica" w:cs="Helvetica"/>
          <w:i/>
          <w:color w:val="0A1B32"/>
          <w:sz w:val="27"/>
          <w:szCs w:val="27"/>
          <w:lang w:val="en-US" w:eastAsia="pl-PL"/>
        </w:rPr>
        <w:t xml:space="preserve"> the link between capital resources and capital requirements and attempt to more fully address the fact that market price changes in all instruments held at fair value immediately impact the solvency of banks. To achieve this objective, one option would be to require any fair valued balance sheet asset or liability to be subject to market risk capital charges. Strictly defined, however, this could result in a potentially large number of non-traded assets and liabilities requiring market risk capital (for example, including assets such as patents, property). A more feasible approach, which the Committee believes would avoid this complication, would be to only apply the boundary to fair-valued financial instruments. Moreover, a strict link between accounting fair value and market risk capital requirements would also potentially misalign market risk capital requirements with the instruments whose fair value movements impact capital resources under Basel III. To address this, the Committee proposes that the boundary be reduced in scope to ensure that it only covers those financial instruments where a movement in their value could lead to a reduction in capital resources under the Basel III definition of capital requirements – this aligns capital requirements with risks to capital resources. Under this approach, in current accounting terms, the new trading book would include held for trading financial instruments, available for sale financial instruments and other financial instruments to which fair value is applied either as an option or a requirement. The Committee would need to consider whether the framework’s current definition of financial instruments20 is sufficiently clear to ensure consistent enforcement. A new “trading book” under this approach would likely be significantly larger than the current trading book for many banks, increase the number of banks subject to market risk capital </w:t>
      </w:r>
      <w:r w:rsidRPr="00D05D57">
        <w:rPr>
          <w:rFonts w:ascii="Helvetica" w:eastAsia="Times New Roman" w:hAnsi="Helvetica" w:cs="Helvetica"/>
          <w:i/>
          <w:color w:val="0A1B32"/>
          <w:sz w:val="27"/>
          <w:szCs w:val="27"/>
          <w:lang w:val="en-US" w:eastAsia="pl-PL"/>
        </w:rPr>
        <w:lastRenderedPageBreak/>
        <w:t xml:space="preserve">requirements and may differ across banks and jurisdictions due to differences in accounting standards. However, as previously discussed, this boundary would not necessarily lead to a wider scope of modelled risk positions. Potential adjustment to the valuation-based boundary: Whilst conceptually sound, the above valuation-based approach could, in some circumstances, </w:t>
      </w:r>
      <w:proofErr w:type="spellStart"/>
      <w:r w:rsidRPr="00D05D57">
        <w:rPr>
          <w:rFonts w:ascii="Helvetica" w:eastAsia="Times New Roman" w:hAnsi="Helvetica" w:cs="Helvetica"/>
          <w:i/>
          <w:color w:val="0A1B32"/>
          <w:sz w:val="27"/>
          <w:szCs w:val="27"/>
          <w:lang w:val="en-US" w:eastAsia="pl-PL"/>
        </w:rPr>
        <w:t>disincentivise</w:t>
      </w:r>
      <w:proofErr w:type="spellEnd"/>
      <w:r w:rsidRPr="00D05D57">
        <w:rPr>
          <w:rFonts w:ascii="Helvetica" w:eastAsia="Times New Roman" w:hAnsi="Helvetica" w:cs="Helvetica"/>
          <w:i/>
          <w:color w:val="0A1B32"/>
          <w:sz w:val="27"/>
          <w:szCs w:val="27"/>
          <w:lang w:val="en-US" w:eastAsia="pl-PL"/>
        </w:rPr>
        <w:t xml:space="preserve"> prudent hedging of interest rate risk in the banking book because hedges held at fair value would be split from the hedged risk position. The Committee is considering a potential adjustment to the valuation-based boundary such that banks could be permitted to include some fair valued financial instruments in the banking book if they can provide clear evidence that those financial instruments are specifically used to hedge other banking book risk positions as part of interest rate risk management arrangements. Under this option, the trading book boundary would be again partly under the control of banks, allowing them some flexibility to choose the designation of their instruments Possible advantages and disadvantages of the valuation-based approach </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 xml:space="preserve">Advantages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All financial instruments held at fair value and so subject to market risk (because changes in fair value could lead to a reduction in capital resources under the Basel III definition of capital) would be required to have market risk capital against that risk.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 The trading book boundary would more closely align with the accounting divide between instruments that are recorded at fair value, and instruments that are recorded at </w:t>
      </w:r>
      <w:proofErr w:type="spellStart"/>
      <w:r w:rsidRPr="00D05D57">
        <w:rPr>
          <w:rFonts w:ascii="Helvetica" w:eastAsia="Times New Roman" w:hAnsi="Helvetica" w:cs="Helvetica"/>
          <w:i/>
          <w:color w:val="0A1B32"/>
          <w:sz w:val="27"/>
          <w:szCs w:val="27"/>
          <w:lang w:val="en-US" w:eastAsia="pl-PL"/>
        </w:rPr>
        <w:t>amortised</w:t>
      </w:r>
      <w:proofErr w:type="spellEnd"/>
      <w:r w:rsidRPr="00D05D57">
        <w:rPr>
          <w:rFonts w:ascii="Helvetica" w:eastAsia="Times New Roman" w:hAnsi="Helvetica" w:cs="Helvetica"/>
          <w:i/>
          <w:color w:val="0A1B32"/>
          <w:sz w:val="27"/>
          <w:szCs w:val="27"/>
          <w:lang w:val="en-US" w:eastAsia="pl-PL"/>
        </w:rPr>
        <w:t xml:space="preserve"> cost. Supervisors could expend less resource monitoring the regulatory boundary, with auditors, as part of their current duties, verifying accounting classification. Some of the goals of auditors and supervisors could be better aligned.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The default choice of whether to hold a financial instrument in the trading book or not would be largely dependent on the accounting rules and filters in the Basel III framework.24 Although the accounting rules may still leave flexibility when designating financial instruments at fair value, arbitrage opportunities are likely to be reduced.</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 xml:space="preserve">Disadvantages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The link to accounting fair value would make the trading book boundary largely dependent on decisions and changes made by accounting standard setters, and auditors’ interpretation of those standards, neither of which are under the control of the Committee.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 xml:space="preserve">• Jurisdictional differences in accounting, for example with regard to tainting of held to maturity securities, could result in large disparities in the scope of the trading book across banks in different countries and potentially significant increases in their regulatory trading book portfolios.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The set of fair value financial instruments may encompass instruments that a bank does not trade. Thus, the boundary would not align with banks’ internal risk management practices for trading activities. </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 xml:space="preserve">Changes common to both boundary options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Regardless of the final choice of the core principle underpinning a future boundary, there are a number of issues/improvements common to both options: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 To encourage market discipline, a set of disclosure requirements regarding the composition of the trading book would also be developed. For example, banks could be required to publish detailed information about the nature of instruments included in the trading book.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The ability to change the designation of an instrument between trading book and banking book at the bank’s own choice would be significantly restricted either through the explicit limitation imposed by the trading evidence-based boundary or through the link to the fair value accounting requirements in the valuation-based approach.</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Stronger, more specific, prudent valuation requirements would be developed and applied to all fair valued financial instruments, regardless of trading book or banking book designation.</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47. How will trading businesses change as a result of Basel III capital rules for banks’ trading books?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The revised approach to the regulation of banks’ trading books –focusing on capturing deep losses during systemic crises and a tougher approach to internal-risk modeling – will limit lucrative arbitrage and trading opportunities.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The Basel Committee on Banking Supervision (BCBS) wants to make banks treat the assets in their trading books more like those in their banking books by forcing them to hold increased capital against assets designated for trading.</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Historically, lower capital requirements for trading book assets had encouraged banks to shift assets from the more expensive banking book into the trading book. However, this left many banks with insufficient capital to cover losses when credit markets collapsed during the crisis.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However, the latest BCBS proposals for how banks should calculate risk-based capital requirements at the trading book level, published on October 31, indicate banks are winning the argument that they should continue to be allowed freedom</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to use their own models to determine how much capital to hold against risky trading activities.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The revised rules represent a substantial U-turn for the BCBS, which had originally proposed in 2012to force banks to aggregate their trading desk’ risk weighted assets (RWA), according to prescribed correlations.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Fixed correlations were needed, the  BCBS suggested, because different banks used different models for calculating risks, which led to an unhelpful fragmentation of oversight approaches among national regulators. All this variation meant that risks were probably being understated and capital reserves were too low.</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By and large, the industry seems satisfied with the compromise, which allows banks to rely on their own internal credit risk and correlation models, but also requires them to backstop these with a standardized approach based on credit rating agency ratings.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The revised rules include new suggestions for making banks’ internal models more robust, as well as changes to the standardized approach that will increase its risk-sensitivi</w:t>
      </w:r>
      <w:r w:rsidR="00141AC1">
        <w:rPr>
          <w:rFonts w:ascii="Helvetica" w:eastAsia="Times New Roman" w:hAnsi="Helvetica" w:cs="Helvetica"/>
          <w:i/>
          <w:color w:val="0A1B32"/>
          <w:sz w:val="27"/>
          <w:szCs w:val="27"/>
          <w:lang w:val="en-US" w:eastAsia="pl-PL"/>
        </w:rPr>
        <w:t>ty, while making it easier for s</w:t>
      </w:r>
      <w:r w:rsidRPr="00D05D57">
        <w:rPr>
          <w:rFonts w:ascii="Helvetica" w:eastAsia="Times New Roman" w:hAnsi="Helvetica" w:cs="Helvetica"/>
          <w:i/>
          <w:color w:val="0A1B32"/>
          <w:sz w:val="27"/>
          <w:szCs w:val="27"/>
          <w:lang w:val="en-US" w:eastAsia="pl-PL"/>
        </w:rPr>
        <w:t>maller banks to implement.</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“It’s tough to be entirely critical of the revised proposals, as it’s clear that some additional level of capital reserve is helpful in a market downturn,” says one market source. “The question is how much is too much.”</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The BCBS is undertaking a quantitative impact study to determine how the current proposals will perform under various stressed market scenarios, and intends to report the results at the end of the consultation period in January 2014.</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However, some observers argue that even in their watered down form, the new proposals show that regulators are moving beyond the objective of matching rules to market reality, and are seeking to restructure banks’ incentives for engaging in certain trading activities.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Part of the problem, they argue, is regulators are basing the new framework on the idea that a future crisis could be far worse than the one that occurred in 2008.</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“A major complaint with the current focus on trading book RWA is that if you look at the experience during the crisis, liquidity didn’t dry up in the way that is being assumed here,” says Simon Gleeson, a partner with law firm Clifford Chance in London.</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“However, these proposals aren’t an attempt to correlate with reality, but rather they seek to build a driver into the system – a disincentive to hold trading assets.”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Indeed, the revised trading book RWA proposal is the latest of a raft of reforms, including the liquidity coverage ratio and the credit valuation adjustment charge that seek to decouple banks’ capital reserves from the health of the asset markets they participate in.</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“There’s a decent policy reason why regulators should not want banks to hold traded assets that are accounted for on a mark-to-market basis,” says Gleeson. “A market crash translates the mark-to-market moves real time into a reduction in bank capital. If a bank is holding a portfolio of non-mark-to-market assets, such as the loans in its banking book, its capital stock is not exposed.”</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Given the mutually reinforcing direction of regulatory capital reforms and OTC derivatives regulation, several banks have already realigned their business models according to the new incentives, with a sharp reduction in fixed-income inventory and position-taking among leading market makers.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Jon Skinner, an independent management consultant based in New York who advises banks on their strategic response to regulatory reforms, says that Basel 2.5 already had a significant impact on market RWA levels and the trading book rules appear to be a refinement of this rather than a major further uptick in RWA.</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It will be interesting to see how flow-trading dealers will evolve their market risk management and flow trading in response to the combination of market risk RWA rules (Basel 2.5, trading book review) and the Dodd-Frank SEF mandate in the US.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“Whilst prop trading is subject to well-publicized regulatory pressures, there is also market risk and</w:t>
      </w:r>
      <w:r w:rsidR="00141AC1">
        <w:rPr>
          <w:rFonts w:ascii="Helvetica" w:eastAsia="Times New Roman" w:hAnsi="Helvetica" w:cs="Helvetica"/>
          <w:i/>
          <w:color w:val="0A1B32"/>
          <w:sz w:val="27"/>
          <w:szCs w:val="27"/>
          <w:lang w:val="en-US" w:eastAsia="pl-PL"/>
        </w:rPr>
        <w:t xml:space="preserve"> </w:t>
      </w:r>
      <w:r w:rsidRPr="00D05D57">
        <w:rPr>
          <w:rFonts w:ascii="Helvetica" w:eastAsia="Times New Roman" w:hAnsi="Helvetica" w:cs="Helvetica"/>
          <w:i/>
          <w:color w:val="0A1B32"/>
          <w:sz w:val="27"/>
          <w:szCs w:val="27"/>
          <w:lang w:val="en-US" w:eastAsia="pl-PL"/>
        </w:rPr>
        <w:t>hence RWA inherent in pure flow trading. Although the trading book review alone may not place a</w:t>
      </w:r>
      <w:r w:rsidR="00141AC1">
        <w:rPr>
          <w:rFonts w:ascii="Helvetica" w:eastAsia="Times New Roman" w:hAnsi="Helvetica" w:cs="Helvetica"/>
          <w:i/>
          <w:color w:val="0A1B32"/>
          <w:sz w:val="27"/>
          <w:szCs w:val="27"/>
          <w:lang w:val="en-US" w:eastAsia="pl-PL"/>
        </w:rPr>
        <w:t xml:space="preserve"> </w:t>
      </w:r>
      <w:r w:rsidRPr="00D05D57">
        <w:rPr>
          <w:rFonts w:ascii="Helvetica" w:eastAsia="Times New Roman" w:hAnsi="Helvetica" w:cs="Helvetica"/>
          <w:i/>
          <w:color w:val="0A1B32"/>
          <w:sz w:val="27"/>
          <w:szCs w:val="27"/>
          <w:lang w:val="en-US" w:eastAsia="pl-PL"/>
        </w:rPr>
        <w:t>further burden sufficient to change the trading model, given the SEF trading mandate in the US,</w:t>
      </w:r>
      <w:r w:rsidR="00141AC1">
        <w:rPr>
          <w:rFonts w:ascii="Helvetica" w:eastAsia="Times New Roman" w:hAnsi="Helvetica" w:cs="Helvetica"/>
          <w:i/>
          <w:color w:val="0A1B32"/>
          <w:sz w:val="27"/>
          <w:szCs w:val="27"/>
          <w:lang w:val="en-US" w:eastAsia="pl-PL"/>
        </w:rPr>
        <w:t xml:space="preserve"> </w:t>
      </w:r>
      <w:r w:rsidRPr="00D05D57">
        <w:rPr>
          <w:rFonts w:ascii="Helvetica" w:eastAsia="Times New Roman" w:hAnsi="Helvetica" w:cs="Helvetica"/>
          <w:i/>
          <w:color w:val="0A1B32"/>
          <w:sz w:val="27"/>
          <w:szCs w:val="27"/>
          <w:lang w:val="en-US" w:eastAsia="pl-PL"/>
        </w:rPr>
        <w:t>dealers may look to optimize market risk RWA in the new environment by adjusting their flow trading</w:t>
      </w:r>
      <w:r w:rsidR="00141AC1">
        <w:rPr>
          <w:rFonts w:ascii="Helvetica" w:eastAsia="Times New Roman" w:hAnsi="Helvetica" w:cs="Helvetica"/>
          <w:i/>
          <w:color w:val="0A1B32"/>
          <w:sz w:val="27"/>
          <w:szCs w:val="27"/>
          <w:lang w:val="en-US" w:eastAsia="pl-PL"/>
        </w:rPr>
        <w:t xml:space="preserve"> </w:t>
      </w:r>
      <w:r w:rsidRPr="00D05D57">
        <w:rPr>
          <w:rFonts w:ascii="Helvetica" w:eastAsia="Times New Roman" w:hAnsi="Helvetica" w:cs="Helvetica"/>
          <w:i/>
          <w:color w:val="0A1B32"/>
          <w:sz w:val="27"/>
          <w:szCs w:val="27"/>
          <w:lang w:val="en-US" w:eastAsia="pl-PL"/>
        </w:rPr>
        <w:t>business," he says.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Under the new regime, this kind of trading operation is now a dying breed.</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lastRenderedPageBreak/>
        <w:t>48. What are the key requirements of the Basel stress testing framework? Are they sufficiently stringent?</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1. Stress testing should form an integral part of the overall governance and risk management culture of the bank. Stress testing should be actionable, with the results from stress testing analyses impacting decision making at the appropriate management level, including strategic business decisions of the board and senior management. Board and senior management involvement in the stress testing </w:t>
      </w:r>
      <w:proofErr w:type="spellStart"/>
      <w:r w:rsidRPr="00D05D57">
        <w:rPr>
          <w:rFonts w:ascii="Helvetica" w:eastAsia="Times New Roman" w:hAnsi="Helvetica" w:cs="Helvetica"/>
          <w:i/>
          <w:color w:val="0A1B32"/>
          <w:sz w:val="27"/>
          <w:szCs w:val="27"/>
          <w:lang w:val="en-US" w:eastAsia="pl-PL"/>
        </w:rPr>
        <w:t>programme</w:t>
      </w:r>
      <w:proofErr w:type="spellEnd"/>
      <w:r w:rsidRPr="00D05D57">
        <w:rPr>
          <w:rFonts w:ascii="Helvetica" w:eastAsia="Times New Roman" w:hAnsi="Helvetica" w:cs="Helvetica"/>
          <w:i/>
          <w:color w:val="0A1B32"/>
          <w:sz w:val="27"/>
          <w:szCs w:val="27"/>
          <w:lang w:val="en-US" w:eastAsia="pl-PL"/>
        </w:rPr>
        <w:t xml:space="preserve"> is essential for its effective operation.</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2. A bank should operate a stress testing </w:t>
      </w:r>
      <w:proofErr w:type="spellStart"/>
      <w:r w:rsidRPr="00D05D57">
        <w:rPr>
          <w:rFonts w:ascii="Helvetica" w:eastAsia="Times New Roman" w:hAnsi="Helvetica" w:cs="Helvetica"/>
          <w:i/>
          <w:color w:val="0A1B32"/>
          <w:sz w:val="27"/>
          <w:szCs w:val="27"/>
          <w:lang w:val="en-US" w:eastAsia="pl-PL"/>
        </w:rPr>
        <w:t>programme</w:t>
      </w:r>
      <w:proofErr w:type="spellEnd"/>
      <w:r w:rsidRPr="00D05D57">
        <w:rPr>
          <w:rFonts w:ascii="Helvetica" w:eastAsia="Times New Roman" w:hAnsi="Helvetica" w:cs="Helvetica"/>
          <w:i/>
          <w:color w:val="0A1B32"/>
          <w:sz w:val="27"/>
          <w:szCs w:val="27"/>
          <w:lang w:val="en-US" w:eastAsia="pl-PL"/>
        </w:rPr>
        <w:t xml:space="preserve"> that promotes risk identification and control; provides a complementary risk perspective to other risk management tools; improves capital and liquidity management; and enhances internal and external communication.</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3. Stress testing </w:t>
      </w:r>
      <w:proofErr w:type="spellStart"/>
      <w:r w:rsidRPr="00D05D57">
        <w:rPr>
          <w:rFonts w:ascii="Helvetica" w:eastAsia="Times New Roman" w:hAnsi="Helvetica" w:cs="Helvetica"/>
          <w:i/>
          <w:color w:val="0A1B32"/>
          <w:sz w:val="27"/>
          <w:szCs w:val="27"/>
          <w:lang w:val="en-US" w:eastAsia="pl-PL"/>
        </w:rPr>
        <w:t>programmes</w:t>
      </w:r>
      <w:proofErr w:type="spellEnd"/>
      <w:r w:rsidRPr="00D05D57">
        <w:rPr>
          <w:rFonts w:ascii="Helvetica" w:eastAsia="Times New Roman" w:hAnsi="Helvetica" w:cs="Helvetica"/>
          <w:i/>
          <w:color w:val="0A1B32"/>
          <w:sz w:val="27"/>
          <w:szCs w:val="27"/>
          <w:lang w:val="en-US" w:eastAsia="pl-PL"/>
        </w:rPr>
        <w:t xml:space="preserve"> should take account of views from across the </w:t>
      </w:r>
      <w:proofErr w:type="spellStart"/>
      <w:r w:rsidRPr="00D05D57">
        <w:rPr>
          <w:rFonts w:ascii="Helvetica" w:eastAsia="Times New Roman" w:hAnsi="Helvetica" w:cs="Helvetica"/>
          <w:i/>
          <w:color w:val="0A1B32"/>
          <w:sz w:val="27"/>
          <w:szCs w:val="27"/>
          <w:lang w:val="en-US" w:eastAsia="pl-PL"/>
        </w:rPr>
        <w:t>organisation</w:t>
      </w:r>
      <w:proofErr w:type="spellEnd"/>
      <w:r w:rsidRPr="00D05D57">
        <w:rPr>
          <w:rFonts w:ascii="Helvetica" w:eastAsia="Times New Roman" w:hAnsi="Helvetica" w:cs="Helvetica"/>
          <w:i/>
          <w:color w:val="0A1B32"/>
          <w:sz w:val="27"/>
          <w:szCs w:val="27"/>
          <w:lang w:val="en-US" w:eastAsia="pl-PL"/>
        </w:rPr>
        <w:t xml:space="preserve"> and should cover a range of perspectives and techniques.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4. A bank should have written policies and procedures governing the stress testing </w:t>
      </w:r>
      <w:proofErr w:type="spellStart"/>
      <w:r w:rsidRPr="00D05D57">
        <w:rPr>
          <w:rFonts w:ascii="Helvetica" w:eastAsia="Times New Roman" w:hAnsi="Helvetica" w:cs="Helvetica"/>
          <w:i/>
          <w:color w:val="0A1B32"/>
          <w:sz w:val="27"/>
          <w:szCs w:val="27"/>
          <w:lang w:val="en-US" w:eastAsia="pl-PL"/>
        </w:rPr>
        <w:t>programme</w:t>
      </w:r>
      <w:proofErr w:type="spellEnd"/>
      <w:r w:rsidRPr="00D05D57">
        <w:rPr>
          <w:rFonts w:ascii="Helvetica" w:eastAsia="Times New Roman" w:hAnsi="Helvetica" w:cs="Helvetica"/>
          <w:i/>
          <w:color w:val="0A1B32"/>
          <w:sz w:val="27"/>
          <w:szCs w:val="27"/>
          <w:lang w:val="en-US" w:eastAsia="pl-PL"/>
        </w:rPr>
        <w:t xml:space="preserve">. The operation of the </w:t>
      </w:r>
      <w:proofErr w:type="spellStart"/>
      <w:r w:rsidRPr="00D05D57">
        <w:rPr>
          <w:rFonts w:ascii="Helvetica" w:eastAsia="Times New Roman" w:hAnsi="Helvetica" w:cs="Helvetica"/>
          <w:i/>
          <w:color w:val="0A1B32"/>
          <w:sz w:val="27"/>
          <w:szCs w:val="27"/>
          <w:lang w:val="en-US" w:eastAsia="pl-PL"/>
        </w:rPr>
        <w:t>programme</w:t>
      </w:r>
      <w:proofErr w:type="spellEnd"/>
      <w:r w:rsidRPr="00D05D57">
        <w:rPr>
          <w:rFonts w:ascii="Helvetica" w:eastAsia="Times New Roman" w:hAnsi="Helvetica" w:cs="Helvetica"/>
          <w:i/>
          <w:color w:val="0A1B32"/>
          <w:sz w:val="27"/>
          <w:szCs w:val="27"/>
          <w:lang w:val="en-US" w:eastAsia="pl-PL"/>
        </w:rPr>
        <w:t xml:space="preserve"> should be appropriately documented.</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5. A bank should have a suitably robust infrastructure in place, which is sufficiently flexible to accommodate different and possibly changing stress tests at an appropriate level of granularity.</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6. A bank should regularly maintain and update its stress testing framework. The effectiveness of the stress testing </w:t>
      </w:r>
      <w:proofErr w:type="spellStart"/>
      <w:r w:rsidRPr="00D05D57">
        <w:rPr>
          <w:rFonts w:ascii="Helvetica" w:eastAsia="Times New Roman" w:hAnsi="Helvetica" w:cs="Helvetica"/>
          <w:i/>
          <w:color w:val="0A1B32"/>
          <w:sz w:val="27"/>
          <w:szCs w:val="27"/>
          <w:lang w:val="en-US" w:eastAsia="pl-PL"/>
        </w:rPr>
        <w:t>programme</w:t>
      </w:r>
      <w:proofErr w:type="spellEnd"/>
      <w:r w:rsidRPr="00D05D57">
        <w:rPr>
          <w:rFonts w:ascii="Helvetica" w:eastAsia="Times New Roman" w:hAnsi="Helvetica" w:cs="Helvetica"/>
          <w:i/>
          <w:color w:val="0A1B32"/>
          <w:sz w:val="27"/>
          <w:szCs w:val="27"/>
          <w:lang w:val="en-US" w:eastAsia="pl-PL"/>
        </w:rPr>
        <w:t>, as well as the robustness of major individual components, should be assessed regularly and independently.</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7. Stress tests should cover a range of risks and business areas, including at the firm-wide level. A bank should be able to integrate effectively, in a meaningful fashion, across the range of its stress testing activities to deliver a complete picture of firm-wide risk.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8. Stress testing </w:t>
      </w:r>
      <w:proofErr w:type="spellStart"/>
      <w:r w:rsidRPr="00D05D57">
        <w:rPr>
          <w:rFonts w:ascii="Helvetica" w:eastAsia="Times New Roman" w:hAnsi="Helvetica" w:cs="Helvetica"/>
          <w:i/>
          <w:color w:val="0A1B32"/>
          <w:sz w:val="27"/>
          <w:szCs w:val="27"/>
          <w:lang w:val="en-US" w:eastAsia="pl-PL"/>
        </w:rPr>
        <w:t>programmes</w:t>
      </w:r>
      <w:proofErr w:type="spellEnd"/>
      <w:r w:rsidRPr="00D05D57">
        <w:rPr>
          <w:rFonts w:ascii="Helvetica" w:eastAsia="Times New Roman" w:hAnsi="Helvetica" w:cs="Helvetica"/>
          <w:i/>
          <w:color w:val="0A1B32"/>
          <w:sz w:val="27"/>
          <w:szCs w:val="27"/>
          <w:lang w:val="en-US" w:eastAsia="pl-PL"/>
        </w:rPr>
        <w:t xml:space="preserve"> should cover a range of scenarios, including forward-looking scenarios, and aim to take into account system-wide interactions and feedback effects.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9. Stress tests should feature a range of severities, including events capable of generating the most damage whether through size of loss or through loss of reputation. A stress testing </w:t>
      </w:r>
      <w:proofErr w:type="spellStart"/>
      <w:r w:rsidRPr="00D05D57">
        <w:rPr>
          <w:rFonts w:ascii="Helvetica" w:eastAsia="Times New Roman" w:hAnsi="Helvetica" w:cs="Helvetica"/>
          <w:i/>
          <w:color w:val="0A1B32"/>
          <w:sz w:val="27"/>
          <w:szCs w:val="27"/>
          <w:lang w:val="en-US" w:eastAsia="pl-PL"/>
        </w:rPr>
        <w:t>programme</w:t>
      </w:r>
      <w:proofErr w:type="spellEnd"/>
      <w:r w:rsidRPr="00D05D57">
        <w:rPr>
          <w:rFonts w:ascii="Helvetica" w:eastAsia="Times New Roman" w:hAnsi="Helvetica" w:cs="Helvetica"/>
          <w:i/>
          <w:color w:val="0A1B32"/>
          <w:sz w:val="27"/>
          <w:szCs w:val="27"/>
          <w:lang w:val="en-US" w:eastAsia="pl-PL"/>
        </w:rPr>
        <w:t xml:space="preserve"> should also determine what scenarios could challenge the viability of the bank (reverse stress tests) and thereby uncover hidden risks and interactions among risks.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 xml:space="preserve">10. As part of an overall stress testing </w:t>
      </w:r>
      <w:proofErr w:type="spellStart"/>
      <w:r w:rsidRPr="00D05D57">
        <w:rPr>
          <w:rFonts w:ascii="Helvetica" w:eastAsia="Times New Roman" w:hAnsi="Helvetica" w:cs="Helvetica"/>
          <w:i/>
          <w:color w:val="0A1B32"/>
          <w:sz w:val="27"/>
          <w:szCs w:val="27"/>
          <w:lang w:val="en-US" w:eastAsia="pl-PL"/>
        </w:rPr>
        <w:t>programme</w:t>
      </w:r>
      <w:proofErr w:type="spellEnd"/>
      <w:r w:rsidRPr="00D05D57">
        <w:rPr>
          <w:rFonts w:ascii="Helvetica" w:eastAsia="Times New Roman" w:hAnsi="Helvetica" w:cs="Helvetica"/>
          <w:i/>
          <w:color w:val="0A1B32"/>
          <w:sz w:val="27"/>
          <w:szCs w:val="27"/>
          <w:lang w:val="en-US" w:eastAsia="pl-PL"/>
        </w:rPr>
        <w:t>, a bank should aim to take account of simultaneous pressures in funding and asset markets, and the impact of a reduction in market liquidity on exposure valuation.</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11. The effectiveness of risk mitigation techniques should be systematically challenged.</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12. The stress testing </w:t>
      </w:r>
      <w:proofErr w:type="spellStart"/>
      <w:r w:rsidRPr="00D05D57">
        <w:rPr>
          <w:rFonts w:ascii="Helvetica" w:eastAsia="Times New Roman" w:hAnsi="Helvetica" w:cs="Helvetica"/>
          <w:i/>
          <w:color w:val="0A1B32"/>
          <w:sz w:val="27"/>
          <w:szCs w:val="27"/>
          <w:lang w:val="en-US" w:eastAsia="pl-PL"/>
        </w:rPr>
        <w:t>programme</w:t>
      </w:r>
      <w:proofErr w:type="spellEnd"/>
      <w:r w:rsidRPr="00D05D57">
        <w:rPr>
          <w:rFonts w:ascii="Helvetica" w:eastAsia="Times New Roman" w:hAnsi="Helvetica" w:cs="Helvetica"/>
          <w:i/>
          <w:color w:val="0A1B32"/>
          <w:sz w:val="27"/>
          <w:szCs w:val="27"/>
          <w:lang w:val="en-US" w:eastAsia="pl-PL"/>
        </w:rPr>
        <w:t xml:space="preserve"> should explicitly cover complex and bespoke products such as </w:t>
      </w:r>
      <w:proofErr w:type="spellStart"/>
      <w:r w:rsidRPr="00D05D57">
        <w:rPr>
          <w:rFonts w:ascii="Helvetica" w:eastAsia="Times New Roman" w:hAnsi="Helvetica" w:cs="Helvetica"/>
          <w:i/>
          <w:color w:val="0A1B32"/>
          <w:sz w:val="27"/>
          <w:szCs w:val="27"/>
          <w:lang w:val="en-US" w:eastAsia="pl-PL"/>
        </w:rPr>
        <w:t>securitised</w:t>
      </w:r>
      <w:proofErr w:type="spellEnd"/>
      <w:r w:rsidRPr="00D05D57">
        <w:rPr>
          <w:rFonts w:ascii="Helvetica" w:eastAsia="Times New Roman" w:hAnsi="Helvetica" w:cs="Helvetica"/>
          <w:i/>
          <w:color w:val="0A1B32"/>
          <w:sz w:val="27"/>
          <w:szCs w:val="27"/>
          <w:lang w:val="en-US" w:eastAsia="pl-PL"/>
        </w:rPr>
        <w:t xml:space="preserve"> exposures. Stress tests for </w:t>
      </w:r>
      <w:proofErr w:type="spellStart"/>
      <w:r w:rsidRPr="00D05D57">
        <w:rPr>
          <w:rFonts w:ascii="Helvetica" w:eastAsia="Times New Roman" w:hAnsi="Helvetica" w:cs="Helvetica"/>
          <w:i/>
          <w:color w:val="0A1B32"/>
          <w:sz w:val="27"/>
          <w:szCs w:val="27"/>
          <w:lang w:val="en-US" w:eastAsia="pl-PL"/>
        </w:rPr>
        <w:t>securitised</w:t>
      </w:r>
      <w:proofErr w:type="spellEnd"/>
      <w:r w:rsidRPr="00D05D57">
        <w:rPr>
          <w:rFonts w:ascii="Helvetica" w:eastAsia="Times New Roman" w:hAnsi="Helvetica" w:cs="Helvetica"/>
          <w:i/>
          <w:color w:val="0A1B32"/>
          <w:sz w:val="27"/>
          <w:szCs w:val="27"/>
          <w:lang w:val="en-US" w:eastAsia="pl-PL"/>
        </w:rPr>
        <w:t xml:space="preserve"> assets should consider the underlying assets, their exposure to systematic market factors, relevant contractual arrangements and embedded triggers, and Principles for sound stress testing practices and supervision 15 impact of leverage, particularly as it relates to the subordination level in the issue structure</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13. The stress testing </w:t>
      </w:r>
      <w:proofErr w:type="spellStart"/>
      <w:r w:rsidRPr="00D05D57">
        <w:rPr>
          <w:rFonts w:ascii="Helvetica" w:eastAsia="Times New Roman" w:hAnsi="Helvetica" w:cs="Helvetica"/>
          <w:i/>
          <w:color w:val="0A1B32"/>
          <w:sz w:val="27"/>
          <w:szCs w:val="27"/>
          <w:lang w:val="en-US" w:eastAsia="pl-PL"/>
        </w:rPr>
        <w:t>programme</w:t>
      </w:r>
      <w:proofErr w:type="spellEnd"/>
      <w:r w:rsidRPr="00D05D57">
        <w:rPr>
          <w:rFonts w:ascii="Helvetica" w:eastAsia="Times New Roman" w:hAnsi="Helvetica" w:cs="Helvetica"/>
          <w:i/>
          <w:color w:val="0A1B32"/>
          <w:sz w:val="27"/>
          <w:szCs w:val="27"/>
          <w:lang w:val="en-US" w:eastAsia="pl-PL"/>
        </w:rPr>
        <w:t xml:space="preserve"> should cover pipeline and warehousing risks. A bank should include such exposures in its stress tests regardless of their probability of being securitized</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14. A bank should enhance its stress testing methodologies to capture the effect of reputational risk. The bank should integrate risks arising from off-balance sheet vehicles and other related entities in its stress testing </w:t>
      </w:r>
      <w:proofErr w:type="spellStart"/>
      <w:r w:rsidRPr="00D05D57">
        <w:rPr>
          <w:rFonts w:ascii="Helvetica" w:eastAsia="Times New Roman" w:hAnsi="Helvetica" w:cs="Helvetica"/>
          <w:i/>
          <w:color w:val="0A1B32"/>
          <w:sz w:val="27"/>
          <w:szCs w:val="27"/>
          <w:lang w:val="en-US" w:eastAsia="pl-PL"/>
        </w:rPr>
        <w:t>programme</w:t>
      </w:r>
      <w:proofErr w:type="spellEnd"/>
      <w:r w:rsidRPr="00D05D57">
        <w:rPr>
          <w:rFonts w:ascii="Helvetica" w:eastAsia="Times New Roman" w:hAnsi="Helvetica" w:cs="Helvetica"/>
          <w:i/>
          <w:color w:val="0A1B32"/>
          <w:sz w:val="27"/>
          <w:szCs w:val="27"/>
          <w:lang w:val="en-US" w:eastAsia="pl-PL"/>
        </w:rPr>
        <w:t>.</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15. A bank should enhance its stress testing approaches for highly leveraged counterparties in considering its vulnerability to specific asset categories or market movements and in assessing potential wrong-way risk related to risk mitigating techniques.</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49. Which extreme events should stress tests be taking into consideration now?</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three key areas stress tests focus on the most are </w:t>
      </w:r>
      <w:r w:rsidRPr="00141AC1">
        <w:rPr>
          <w:rFonts w:ascii="Helvetica" w:eastAsia="Times New Roman" w:hAnsi="Helvetica" w:cs="Helvetica"/>
          <w:b/>
          <w:i/>
          <w:color w:val="0A1B32"/>
          <w:sz w:val="27"/>
          <w:szCs w:val="27"/>
          <w:lang w:val="en-US" w:eastAsia="pl-PL"/>
        </w:rPr>
        <w:t>credit risk, market risk, and liquidity risk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That guidance identified eight risk categories including credit risk, country and transfer risk, market risk, interest rate risk, liquidity risk, operational risk, legal risk and reputational risk.</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 xml:space="preserve">Ordinary Times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Credit risk Defaults may be predicted based on historical data—no strong correlation of defaults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Market risk Loss of value linked to performance of asset </w:t>
      </w:r>
    </w:p>
    <w:p w:rsidR="00141AC1"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lastRenderedPageBreak/>
        <w:t xml:space="preserve">Operation risk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More likely to be institution specific</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Extreme Events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Credit risk Inadequate data for robust quantification or risk— strong correlation of default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Market risk Loss of value linked to type of asset (contagion) </w:t>
      </w:r>
    </w:p>
    <w:p w:rsidR="00141AC1"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Operation risk</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More likely to be environmental</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Extreme events can be usefully divided into two categories. The fi </w:t>
      </w:r>
      <w:proofErr w:type="spellStart"/>
      <w:r w:rsidRPr="00D05D57">
        <w:rPr>
          <w:rFonts w:ascii="Helvetica" w:eastAsia="Times New Roman" w:hAnsi="Helvetica" w:cs="Helvetica"/>
          <w:i/>
          <w:color w:val="0A1B32"/>
          <w:sz w:val="27"/>
          <w:szCs w:val="27"/>
          <w:lang w:val="en-US" w:eastAsia="pl-PL"/>
        </w:rPr>
        <w:t>rst</w:t>
      </w:r>
      <w:proofErr w:type="spellEnd"/>
      <w:r w:rsidRPr="00D05D57">
        <w:rPr>
          <w:rFonts w:ascii="Helvetica" w:eastAsia="Times New Roman" w:hAnsi="Helvetica" w:cs="Helvetica"/>
          <w:i/>
          <w:color w:val="0A1B32"/>
          <w:sz w:val="27"/>
          <w:szCs w:val="27"/>
          <w:lang w:val="en-US" w:eastAsia="pl-PL"/>
        </w:rPr>
        <w:t xml:space="preserve"> includes </w:t>
      </w:r>
      <w:proofErr w:type="spellStart"/>
      <w:r w:rsidRPr="00D05D57">
        <w:rPr>
          <w:rFonts w:ascii="Helvetica" w:eastAsia="Times New Roman" w:hAnsi="Helvetica" w:cs="Helvetica"/>
          <w:i/>
          <w:color w:val="0A1B32"/>
          <w:sz w:val="27"/>
          <w:szCs w:val="27"/>
          <w:lang w:val="en-US" w:eastAsia="pl-PL"/>
        </w:rPr>
        <w:t>identifi</w:t>
      </w:r>
      <w:proofErr w:type="spellEnd"/>
      <w:r w:rsidRPr="00D05D57">
        <w:rPr>
          <w:rFonts w:ascii="Helvetica" w:eastAsia="Times New Roman" w:hAnsi="Helvetica" w:cs="Helvetica"/>
          <w:i/>
          <w:color w:val="0A1B32"/>
          <w:sz w:val="27"/>
          <w:szCs w:val="27"/>
          <w:lang w:val="en-US" w:eastAsia="pl-PL"/>
        </w:rPr>
        <w:t xml:space="preserve"> able outcomes (often predicted by history) that occur too infrequently to be effectively managed. Think of the fi </w:t>
      </w:r>
      <w:proofErr w:type="spellStart"/>
      <w:r w:rsidRPr="00D05D57">
        <w:rPr>
          <w:rFonts w:ascii="Helvetica" w:eastAsia="Times New Roman" w:hAnsi="Helvetica" w:cs="Helvetica"/>
          <w:i/>
          <w:color w:val="0A1B32"/>
          <w:sz w:val="27"/>
          <w:szCs w:val="27"/>
          <w:lang w:val="en-US" w:eastAsia="pl-PL"/>
        </w:rPr>
        <w:t>nancial</w:t>
      </w:r>
      <w:proofErr w:type="spellEnd"/>
      <w:r w:rsidRPr="00D05D57">
        <w:rPr>
          <w:rFonts w:ascii="Helvetica" w:eastAsia="Times New Roman" w:hAnsi="Helvetica" w:cs="Helvetica"/>
          <w:i/>
          <w:color w:val="0A1B32"/>
          <w:sz w:val="27"/>
          <w:szCs w:val="27"/>
          <w:lang w:val="en-US" w:eastAsia="pl-PL"/>
        </w:rPr>
        <w:t xml:space="preserve"> equivalents of a 1,000-year </w:t>
      </w:r>
      <w:proofErr w:type="spellStart"/>
      <w:r w:rsidRPr="00D05D57">
        <w:rPr>
          <w:rFonts w:ascii="Helvetica" w:eastAsia="Times New Roman" w:hAnsi="Helvetica" w:cs="Helvetica"/>
          <w:i/>
          <w:color w:val="0A1B32"/>
          <w:sz w:val="27"/>
          <w:szCs w:val="27"/>
          <w:lang w:val="en-US" w:eastAsia="pl-PL"/>
        </w:rPr>
        <w:t>fl</w:t>
      </w:r>
      <w:proofErr w:type="spellEnd"/>
      <w:r w:rsidRPr="00D05D57">
        <w:rPr>
          <w:rFonts w:ascii="Helvetica" w:eastAsia="Times New Roman" w:hAnsi="Helvetica" w:cs="Helvetica"/>
          <w:i/>
          <w:color w:val="0A1B32"/>
          <w:sz w:val="27"/>
          <w:szCs w:val="27"/>
          <w:lang w:val="en-US" w:eastAsia="pl-PL"/>
        </w:rPr>
        <w:t xml:space="preserve"> </w:t>
      </w:r>
      <w:proofErr w:type="spellStart"/>
      <w:r w:rsidRPr="00D05D57">
        <w:rPr>
          <w:rFonts w:ascii="Helvetica" w:eastAsia="Times New Roman" w:hAnsi="Helvetica" w:cs="Helvetica"/>
          <w:i/>
          <w:color w:val="0A1B32"/>
          <w:sz w:val="27"/>
          <w:szCs w:val="27"/>
          <w:lang w:val="en-US" w:eastAsia="pl-PL"/>
        </w:rPr>
        <w:t>ood</w:t>
      </w:r>
      <w:proofErr w:type="spellEnd"/>
      <w:r w:rsidRPr="00D05D57">
        <w:rPr>
          <w:rFonts w:ascii="Helvetica" w:eastAsia="Times New Roman" w:hAnsi="Helvetica" w:cs="Helvetica"/>
          <w:i/>
          <w:color w:val="0A1B32"/>
          <w:sz w:val="27"/>
          <w:szCs w:val="27"/>
          <w:lang w:val="en-US" w:eastAsia="pl-PL"/>
        </w:rPr>
        <w:t xml:space="preserve">, an 8.5 point earthquake centered on Los Angeles or a meteor strike. </w:t>
      </w:r>
      <w:proofErr w:type="spellStart"/>
      <w:r w:rsidRPr="00D05D57">
        <w:rPr>
          <w:rFonts w:ascii="Helvetica" w:eastAsia="Times New Roman" w:hAnsi="Helvetica" w:cs="Helvetica"/>
          <w:i/>
          <w:color w:val="0A1B32"/>
          <w:sz w:val="27"/>
          <w:szCs w:val="27"/>
          <w:lang w:val="en-US" w:eastAsia="pl-PL"/>
        </w:rPr>
        <w:t>Hyperinfl</w:t>
      </w:r>
      <w:proofErr w:type="spellEnd"/>
      <w:r w:rsidRPr="00D05D57">
        <w:rPr>
          <w:rFonts w:ascii="Helvetica" w:eastAsia="Times New Roman" w:hAnsi="Helvetica" w:cs="Helvetica"/>
          <w:i/>
          <w:color w:val="0A1B32"/>
          <w:sz w:val="27"/>
          <w:szCs w:val="27"/>
          <w:lang w:val="en-US" w:eastAsia="pl-PL"/>
        </w:rPr>
        <w:t xml:space="preserve"> </w:t>
      </w:r>
      <w:proofErr w:type="spellStart"/>
      <w:r w:rsidRPr="00D05D57">
        <w:rPr>
          <w:rFonts w:ascii="Helvetica" w:eastAsia="Times New Roman" w:hAnsi="Helvetica" w:cs="Helvetica"/>
          <w:i/>
          <w:color w:val="0A1B32"/>
          <w:sz w:val="27"/>
          <w:szCs w:val="27"/>
          <w:lang w:val="en-US" w:eastAsia="pl-PL"/>
        </w:rPr>
        <w:t>ation</w:t>
      </w:r>
      <w:proofErr w:type="spellEnd"/>
      <w:r w:rsidRPr="00D05D57">
        <w:rPr>
          <w:rFonts w:ascii="Helvetica" w:eastAsia="Times New Roman" w:hAnsi="Helvetica" w:cs="Helvetica"/>
          <w:i/>
          <w:color w:val="0A1B32"/>
          <w:sz w:val="27"/>
          <w:szCs w:val="27"/>
          <w:lang w:val="en-US" w:eastAsia="pl-PL"/>
        </w:rPr>
        <w:t xml:space="preserve"> and systemic bank failures have occurred—we simply feel these events are extremely unlikely to occur at any given moment in time, and their impacts are likely to be so overwhelming that risk mitigation does not appear to be worth the effort.5 At the outer limits, hopelessness sets in. The second category of extreme events is more frightening. These are the inevitably unaddressed risks associated with </w:t>
      </w:r>
      <w:proofErr w:type="spellStart"/>
      <w:r w:rsidRPr="00D05D57">
        <w:rPr>
          <w:rFonts w:ascii="Helvetica" w:eastAsia="Times New Roman" w:hAnsi="Helvetica" w:cs="Helvetica"/>
          <w:i/>
          <w:color w:val="0A1B32"/>
          <w:sz w:val="27"/>
          <w:szCs w:val="27"/>
          <w:lang w:val="en-US" w:eastAsia="pl-PL"/>
        </w:rPr>
        <w:t>unidentifi</w:t>
      </w:r>
      <w:proofErr w:type="spellEnd"/>
      <w:r w:rsidRPr="00D05D57">
        <w:rPr>
          <w:rFonts w:ascii="Helvetica" w:eastAsia="Times New Roman" w:hAnsi="Helvetica" w:cs="Helvetica"/>
          <w:i/>
          <w:color w:val="0A1B32"/>
          <w:sz w:val="27"/>
          <w:szCs w:val="27"/>
          <w:lang w:val="en-US" w:eastAsia="pl-PL"/>
        </w:rPr>
        <w:t xml:space="preserve"> </w:t>
      </w:r>
      <w:proofErr w:type="spellStart"/>
      <w:r w:rsidRPr="00D05D57">
        <w:rPr>
          <w:rFonts w:ascii="Helvetica" w:eastAsia="Times New Roman" w:hAnsi="Helvetica" w:cs="Helvetica"/>
          <w:i/>
          <w:color w:val="0A1B32"/>
          <w:sz w:val="27"/>
          <w:szCs w:val="27"/>
          <w:lang w:val="en-US" w:eastAsia="pl-PL"/>
        </w:rPr>
        <w:t>ed</w:t>
      </w:r>
      <w:proofErr w:type="spellEnd"/>
      <w:r w:rsidRPr="00D05D57">
        <w:rPr>
          <w:rFonts w:ascii="Helvetica" w:eastAsia="Times New Roman" w:hAnsi="Helvetica" w:cs="Helvetica"/>
          <w:i/>
          <w:color w:val="0A1B32"/>
          <w:sz w:val="27"/>
          <w:szCs w:val="27"/>
          <w:lang w:val="en-US" w:eastAsia="pl-PL"/>
        </w:rPr>
        <w:t xml:space="preserve"> events—events for which there is no historical experience. </w:t>
      </w:r>
      <w:proofErr w:type="spellStart"/>
      <w:r w:rsidRPr="00D05D57">
        <w:rPr>
          <w:rFonts w:ascii="Helvetica" w:eastAsia="Times New Roman" w:hAnsi="Helvetica" w:cs="Helvetica"/>
          <w:i/>
          <w:color w:val="0A1B32"/>
          <w:sz w:val="27"/>
          <w:szCs w:val="27"/>
          <w:lang w:val="en-US" w:eastAsia="pl-PL"/>
        </w:rPr>
        <w:t>Taleb</w:t>
      </w:r>
      <w:proofErr w:type="spellEnd"/>
      <w:r w:rsidRPr="00D05D57">
        <w:rPr>
          <w:rFonts w:ascii="Helvetica" w:eastAsia="Times New Roman" w:hAnsi="Helvetica" w:cs="Helvetica"/>
          <w:i/>
          <w:color w:val="0A1B32"/>
          <w:sz w:val="27"/>
          <w:szCs w:val="27"/>
          <w:lang w:val="en-US" w:eastAsia="pl-PL"/>
        </w:rPr>
        <w:t xml:space="preserve"> teaches (among other things) that novel events do occur. Our imagination, and hence our ability to anticipate outcomes, is limited by our experiences. Our habits, however, instruct us to assume continuity</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 xml:space="preserve">Warehousing/Pipeline Risk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The current fi </w:t>
      </w:r>
      <w:proofErr w:type="spellStart"/>
      <w:r w:rsidRPr="00D05D57">
        <w:rPr>
          <w:rFonts w:ascii="Helvetica" w:eastAsia="Times New Roman" w:hAnsi="Helvetica" w:cs="Helvetica"/>
          <w:i/>
          <w:color w:val="0A1B32"/>
          <w:sz w:val="27"/>
          <w:szCs w:val="27"/>
          <w:lang w:val="en-US" w:eastAsia="pl-PL"/>
        </w:rPr>
        <w:t>nancial</w:t>
      </w:r>
      <w:proofErr w:type="spellEnd"/>
      <w:r w:rsidRPr="00D05D57">
        <w:rPr>
          <w:rFonts w:ascii="Helvetica" w:eastAsia="Times New Roman" w:hAnsi="Helvetica" w:cs="Helvetica"/>
          <w:i/>
          <w:color w:val="0A1B32"/>
          <w:sz w:val="27"/>
          <w:szCs w:val="27"/>
          <w:lang w:val="en-US" w:eastAsia="pl-PL"/>
        </w:rPr>
        <w:t xml:space="preserve"> crisis brought home a category of underappreciated risk. Banks engaged in active originate-and-distribute activity anticipated very short holding periods for bank-originated assets. These assets were either sold in secondary markets or packaged into securitization vehicles. Warehousing and pipeline risk refers to the event where originating banks are unable to off-load assets due to unexpected changes in market conditions. Involuntary holding of these assets expose the bank to losses due to declining values of these assets.</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 xml:space="preserve">Reputation Risk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Reputation risk refers both to the prospect of a decline in value of a bank’s goodwill, as well as the possibility that a bank will feel constrained to undertake certain transactions in order to maintain goodwill. This particular </w:t>
      </w:r>
      <w:r w:rsidRPr="00D05D57">
        <w:rPr>
          <w:rFonts w:ascii="Helvetica" w:eastAsia="Times New Roman" w:hAnsi="Helvetica" w:cs="Helvetica"/>
          <w:i/>
          <w:color w:val="0A1B32"/>
          <w:sz w:val="27"/>
          <w:szCs w:val="27"/>
          <w:lang w:val="en-US" w:eastAsia="pl-PL"/>
        </w:rPr>
        <w:lastRenderedPageBreak/>
        <w:t xml:space="preserve">risk manifested during the current crisis. Banks involved in securitization activities frequently transferred assets to formally independent (and bankruptcy remote) corporate entities (often called Special Purpose Entities). Once these assets were transferred, they no longer appear on the bank’s balance sheet. Nor were they treated as off-balance sheet items, unless the bank was contractually obligated to intervene in event of default or other stress. Many banks re-acquired distressed assets from Special Purpose Entities, notwithstanding the absence of a contractual obligation to do so. Recognition of this moral obligation is explained by concerns by banks for their reputations. Banks realized avoidable fi </w:t>
      </w:r>
      <w:proofErr w:type="spellStart"/>
      <w:r w:rsidRPr="00D05D57">
        <w:rPr>
          <w:rFonts w:ascii="Helvetica" w:eastAsia="Times New Roman" w:hAnsi="Helvetica" w:cs="Helvetica"/>
          <w:i/>
          <w:color w:val="0A1B32"/>
          <w:sz w:val="27"/>
          <w:szCs w:val="27"/>
          <w:lang w:val="en-US" w:eastAsia="pl-PL"/>
        </w:rPr>
        <w:t>nancial</w:t>
      </w:r>
      <w:proofErr w:type="spellEnd"/>
      <w:r w:rsidRPr="00D05D57">
        <w:rPr>
          <w:rFonts w:ascii="Helvetica" w:eastAsia="Times New Roman" w:hAnsi="Helvetica" w:cs="Helvetica"/>
          <w:i/>
          <w:color w:val="0A1B32"/>
          <w:sz w:val="27"/>
          <w:szCs w:val="27"/>
          <w:lang w:val="en-US" w:eastAsia="pl-PL"/>
        </w:rPr>
        <w:t xml:space="preserve"> losses in order to avoid investor wrath. Given this history, it is likely that implicit puts will be recognized when securitization markets eventually re-emerge. Extreme Operational Risks Operational risk describes the residual category of </w:t>
      </w:r>
      <w:proofErr w:type="spellStart"/>
      <w:r w:rsidRPr="00D05D57">
        <w:rPr>
          <w:rFonts w:ascii="Helvetica" w:eastAsia="Times New Roman" w:hAnsi="Helvetica" w:cs="Helvetica"/>
          <w:i/>
          <w:color w:val="0A1B32"/>
          <w:sz w:val="27"/>
          <w:szCs w:val="27"/>
          <w:lang w:val="en-US" w:eastAsia="pl-PL"/>
        </w:rPr>
        <w:t>identifi</w:t>
      </w:r>
      <w:proofErr w:type="spellEnd"/>
      <w:r w:rsidRPr="00D05D57">
        <w:rPr>
          <w:rFonts w:ascii="Helvetica" w:eastAsia="Times New Roman" w:hAnsi="Helvetica" w:cs="Helvetica"/>
          <w:i/>
          <w:color w:val="0A1B32"/>
          <w:sz w:val="27"/>
          <w:szCs w:val="27"/>
          <w:lang w:val="en-US" w:eastAsia="pl-PL"/>
        </w:rPr>
        <w:t xml:space="preserve"> able risks beyond credit and markets risks. These include both internal and environmental risks. Internal risks include poor management, losses caused by rogue traders, and fraud. It also includes certain counterparty risks that are not captured under the credit or market risk categories. External risks include those presented by weaknesses in the interlocked fi </w:t>
      </w:r>
      <w:proofErr w:type="spellStart"/>
      <w:r w:rsidRPr="00D05D57">
        <w:rPr>
          <w:rFonts w:ascii="Helvetica" w:eastAsia="Times New Roman" w:hAnsi="Helvetica" w:cs="Helvetica"/>
          <w:i/>
          <w:color w:val="0A1B32"/>
          <w:sz w:val="27"/>
          <w:szCs w:val="27"/>
          <w:lang w:val="en-US" w:eastAsia="pl-PL"/>
        </w:rPr>
        <w:t>nancial</w:t>
      </w:r>
      <w:proofErr w:type="spellEnd"/>
      <w:r w:rsidRPr="00D05D57">
        <w:rPr>
          <w:rFonts w:ascii="Helvetica" w:eastAsia="Times New Roman" w:hAnsi="Helvetica" w:cs="Helvetica"/>
          <w:i/>
          <w:color w:val="0A1B32"/>
          <w:sz w:val="27"/>
          <w:szCs w:val="27"/>
          <w:lang w:val="en-US" w:eastAsia="pl-PL"/>
        </w:rPr>
        <w:t xml:space="preserve"> system, as well as the usual horrors (wars, plagues, insurrections). An operational risk event may be of an unanticipated magnitude— and not adequately provided for. And it may be perversely correlated with other stresses. Consider the Madoff Ponzi scheme. A Ponzi scheme is subject to collapse even under the most benign conditions, but is much more vulnerable during periods of market pessimism and declining asset values. The recognition of losses from such an event (corresponding to discovery and collapse of the scheme) may well compound simultaneous credit and market losses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During extreme events salient operational risks are more likely to be external—that is, they cannot be so easily traced to management failures. And so they are more likely be experienced by many institutions—leading in turn to </w:t>
      </w:r>
      <w:proofErr w:type="spellStart"/>
      <w:r w:rsidRPr="00D05D57">
        <w:rPr>
          <w:rFonts w:ascii="Helvetica" w:eastAsia="Times New Roman" w:hAnsi="Helvetica" w:cs="Helvetica"/>
          <w:i/>
          <w:color w:val="0A1B32"/>
          <w:sz w:val="27"/>
          <w:szCs w:val="27"/>
          <w:lang w:val="en-US" w:eastAsia="pl-PL"/>
        </w:rPr>
        <w:t>magnifi</w:t>
      </w:r>
      <w:proofErr w:type="spellEnd"/>
      <w:r w:rsidRPr="00D05D57">
        <w:rPr>
          <w:rFonts w:ascii="Helvetica" w:eastAsia="Times New Roman" w:hAnsi="Helvetica" w:cs="Helvetica"/>
          <w:i/>
          <w:color w:val="0A1B32"/>
          <w:sz w:val="27"/>
          <w:szCs w:val="27"/>
          <w:lang w:val="en-US" w:eastAsia="pl-PL"/>
        </w:rPr>
        <w:t xml:space="preserve"> cation and systemic risk. Not all risks can be anticipated. Indeed, it is </w:t>
      </w:r>
      <w:proofErr w:type="spellStart"/>
      <w:r w:rsidRPr="00D05D57">
        <w:rPr>
          <w:rFonts w:ascii="Helvetica" w:eastAsia="Times New Roman" w:hAnsi="Helvetica" w:cs="Helvetica"/>
          <w:i/>
          <w:color w:val="0A1B32"/>
          <w:sz w:val="27"/>
          <w:szCs w:val="27"/>
          <w:lang w:val="en-US" w:eastAsia="pl-PL"/>
        </w:rPr>
        <w:t>diffi</w:t>
      </w:r>
      <w:proofErr w:type="spellEnd"/>
      <w:r w:rsidRPr="00D05D57">
        <w:rPr>
          <w:rFonts w:ascii="Helvetica" w:eastAsia="Times New Roman" w:hAnsi="Helvetica" w:cs="Helvetica"/>
          <w:i/>
          <w:color w:val="0A1B32"/>
          <w:sz w:val="27"/>
          <w:szCs w:val="27"/>
          <w:lang w:val="en-US" w:eastAsia="pl-PL"/>
        </w:rPr>
        <w:t xml:space="preserve"> cult to manage risks that cannot be imagined (those that are outside of experience) although experience teaches that unanticipated and unimagined events do occur. The liquidity crisis had been imagined by some, who—like Cassandra—were ignored. That said, one might credibly say that the “market” failed to imagine or anticipate such an outcome. </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 xml:space="preserve">Extreme Systemic Risk </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 xml:space="preserve">Basel II directly controls the activities of individual institutions. That said, like all prudential regulation, Basel II is in some sense more concerned by the spillover effects of an institution’s crisis onto the larger banking system.10 In the current fi </w:t>
      </w:r>
      <w:proofErr w:type="spellStart"/>
      <w:r w:rsidRPr="00D05D57">
        <w:rPr>
          <w:rFonts w:ascii="Helvetica" w:eastAsia="Times New Roman" w:hAnsi="Helvetica" w:cs="Helvetica"/>
          <w:i/>
          <w:color w:val="0A1B32"/>
          <w:sz w:val="27"/>
          <w:szCs w:val="27"/>
          <w:lang w:val="en-US" w:eastAsia="pl-PL"/>
        </w:rPr>
        <w:t>nancial</w:t>
      </w:r>
      <w:proofErr w:type="spellEnd"/>
      <w:r w:rsidRPr="00D05D57">
        <w:rPr>
          <w:rFonts w:ascii="Helvetica" w:eastAsia="Times New Roman" w:hAnsi="Helvetica" w:cs="Helvetica"/>
          <w:i/>
          <w:color w:val="0A1B32"/>
          <w:sz w:val="27"/>
          <w:szCs w:val="27"/>
          <w:lang w:val="en-US" w:eastAsia="pl-PL"/>
        </w:rPr>
        <w:t xml:space="preserve"> crisis, bank capital was not only inadequate as measured on an individual institutional basis; it was inadequate on a system-wide basis. There were no </w:t>
      </w:r>
      <w:proofErr w:type="spellStart"/>
      <w:r w:rsidRPr="00D05D57">
        <w:rPr>
          <w:rFonts w:ascii="Helvetica" w:eastAsia="Times New Roman" w:hAnsi="Helvetica" w:cs="Helvetica"/>
          <w:i/>
          <w:color w:val="0A1B32"/>
          <w:sz w:val="27"/>
          <w:szCs w:val="27"/>
          <w:lang w:val="en-US" w:eastAsia="pl-PL"/>
        </w:rPr>
        <w:t>suffi</w:t>
      </w:r>
      <w:proofErr w:type="spellEnd"/>
      <w:r w:rsidRPr="00D05D57">
        <w:rPr>
          <w:rFonts w:ascii="Helvetica" w:eastAsia="Times New Roman" w:hAnsi="Helvetica" w:cs="Helvetica"/>
          <w:i/>
          <w:color w:val="0A1B32"/>
          <w:sz w:val="27"/>
          <w:szCs w:val="27"/>
          <w:lang w:val="en-US" w:eastAsia="pl-PL"/>
        </w:rPr>
        <w:t xml:space="preserve"> </w:t>
      </w:r>
      <w:proofErr w:type="spellStart"/>
      <w:r w:rsidRPr="00D05D57">
        <w:rPr>
          <w:rFonts w:ascii="Helvetica" w:eastAsia="Times New Roman" w:hAnsi="Helvetica" w:cs="Helvetica"/>
          <w:i/>
          <w:color w:val="0A1B32"/>
          <w:sz w:val="27"/>
          <w:szCs w:val="27"/>
          <w:lang w:val="en-US" w:eastAsia="pl-PL"/>
        </w:rPr>
        <w:t>ciently</w:t>
      </w:r>
      <w:proofErr w:type="spellEnd"/>
      <w:r w:rsidRPr="00D05D57">
        <w:rPr>
          <w:rFonts w:ascii="Helvetica" w:eastAsia="Times New Roman" w:hAnsi="Helvetica" w:cs="Helvetica"/>
          <w:i/>
          <w:color w:val="0A1B32"/>
          <w:sz w:val="27"/>
          <w:szCs w:val="27"/>
          <w:lang w:val="en-US" w:eastAsia="pl-PL"/>
        </w:rPr>
        <w:t xml:space="preserve"> well capitalized banks that were able </w:t>
      </w:r>
      <w:r w:rsidRPr="00D05D57">
        <w:rPr>
          <w:rFonts w:ascii="Helvetica" w:eastAsia="Times New Roman" w:hAnsi="Helvetica" w:cs="Helvetica"/>
          <w:i/>
          <w:color w:val="0A1B32"/>
          <w:sz w:val="27"/>
          <w:szCs w:val="27"/>
          <w:lang w:val="en-US" w:eastAsia="pl-PL"/>
        </w:rPr>
        <w:lastRenderedPageBreak/>
        <w:t xml:space="preserve">to absorb the capital </w:t>
      </w:r>
      <w:proofErr w:type="spellStart"/>
      <w:r w:rsidRPr="00D05D57">
        <w:rPr>
          <w:rFonts w:ascii="Helvetica" w:eastAsia="Times New Roman" w:hAnsi="Helvetica" w:cs="Helvetica"/>
          <w:i/>
          <w:color w:val="0A1B32"/>
          <w:sz w:val="27"/>
          <w:szCs w:val="27"/>
          <w:lang w:val="en-US" w:eastAsia="pl-PL"/>
        </w:rPr>
        <w:t>defi</w:t>
      </w:r>
      <w:proofErr w:type="spellEnd"/>
      <w:r w:rsidRPr="00D05D57">
        <w:rPr>
          <w:rFonts w:ascii="Helvetica" w:eastAsia="Times New Roman" w:hAnsi="Helvetica" w:cs="Helvetica"/>
          <w:i/>
          <w:color w:val="0A1B32"/>
          <w:sz w:val="27"/>
          <w:szCs w:val="27"/>
          <w:lang w:val="en-US" w:eastAsia="pl-PL"/>
        </w:rPr>
        <w:t xml:space="preserve"> </w:t>
      </w:r>
      <w:proofErr w:type="spellStart"/>
      <w:r w:rsidRPr="00D05D57">
        <w:rPr>
          <w:rFonts w:ascii="Helvetica" w:eastAsia="Times New Roman" w:hAnsi="Helvetica" w:cs="Helvetica"/>
          <w:i/>
          <w:color w:val="0A1B32"/>
          <w:sz w:val="27"/>
          <w:szCs w:val="27"/>
          <w:lang w:val="en-US" w:eastAsia="pl-PL"/>
        </w:rPr>
        <w:t>cits</w:t>
      </w:r>
      <w:proofErr w:type="spellEnd"/>
      <w:r w:rsidRPr="00D05D57">
        <w:rPr>
          <w:rFonts w:ascii="Helvetica" w:eastAsia="Times New Roman" w:hAnsi="Helvetica" w:cs="Helvetica"/>
          <w:i/>
          <w:color w:val="0A1B32"/>
          <w:sz w:val="27"/>
          <w:szCs w:val="27"/>
          <w:lang w:val="en-US" w:eastAsia="pl-PL"/>
        </w:rPr>
        <w:t xml:space="preserve"> (and negative equity) of the failed institutions. Government response in the United States, United Kingdom and elsewhere demonstrated the existence of severe de facto capital </w:t>
      </w:r>
      <w:proofErr w:type="spellStart"/>
      <w:r w:rsidRPr="00D05D57">
        <w:rPr>
          <w:rFonts w:ascii="Helvetica" w:eastAsia="Times New Roman" w:hAnsi="Helvetica" w:cs="Helvetica"/>
          <w:i/>
          <w:color w:val="0A1B32"/>
          <w:sz w:val="27"/>
          <w:szCs w:val="27"/>
          <w:lang w:val="en-US" w:eastAsia="pl-PL"/>
        </w:rPr>
        <w:t>defi</w:t>
      </w:r>
      <w:proofErr w:type="spellEnd"/>
      <w:r w:rsidRPr="00D05D57">
        <w:rPr>
          <w:rFonts w:ascii="Helvetica" w:eastAsia="Times New Roman" w:hAnsi="Helvetica" w:cs="Helvetica"/>
          <w:i/>
          <w:color w:val="0A1B32"/>
          <w:sz w:val="27"/>
          <w:szCs w:val="27"/>
          <w:lang w:val="en-US" w:eastAsia="pl-PL"/>
        </w:rPr>
        <w:t xml:space="preserve"> </w:t>
      </w:r>
      <w:proofErr w:type="spellStart"/>
      <w:r w:rsidRPr="00D05D57">
        <w:rPr>
          <w:rFonts w:ascii="Helvetica" w:eastAsia="Times New Roman" w:hAnsi="Helvetica" w:cs="Helvetica"/>
          <w:i/>
          <w:color w:val="0A1B32"/>
          <w:sz w:val="27"/>
          <w:szCs w:val="27"/>
          <w:lang w:val="en-US" w:eastAsia="pl-PL"/>
        </w:rPr>
        <w:t>cits</w:t>
      </w:r>
      <w:proofErr w:type="spellEnd"/>
      <w:r w:rsidRPr="00D05D57">
        <w:rPr>
          <w:rFonts w:ascii="Helvetica" w:eastAsia="Times New Roman" w:hAnsi="Helvetica" w:cs="Helvetica"/>
          <w:i/>
          <w:color w:val="0A1B32"/>
          <w:sz w:val="27"/>
          <w:szCs w:val="27"/>
          <w:lang w:val="en-US" w:eastAsia="pl-PL"/>
        </w:rPr>
        <w:t xml:space="preserve">. While institutions remain with well-worn, recognizable names, the effective truth is that the pre-crisis banking sector has been utterly destroyed and what exists today results from an ad hoc public recapitalization. </w:t>
      </w:r>
      <w:proofErr w:type="spellStart"/>
      <w:r w:rsidRPr="00D05D57">
        <w:rPr>
          <w:rFonts w:ascii="Helvetica" w:eastAsia="Times New Roman" w:hAnsi="Helvetica" w:cs="Helvetica"/>
          <w:i/>
          <w:color w:val="0A1B32"/>
          <w:sz w:val="27"/>
          <w:szCs w:val="27"/>
          <w:lang w:val="en-US" w:eastAsia="pl-PL"/>
        </w:rPr>
        <w:t>Schwarcz</w:t>
      </w:r>
      <w:proofErr w:type="spellEnd"/>
      <w:r w:rsidRPr="00D05D57">
        <w:rPr>
          <w:rFonts w:ascii="Helvetica" w:eastAsia="Times New Roman" w:hAnsi="Helvetica" w:cs="Helvetica"/>
          <w:i/>
          <w:color w:val="0A1B32"/>
          <w:sz w:val="27"/>
          <w:szCs w:val="27"/>
          <w:lang w:val="en-US" w:eastAsia="pl-PL"/>
        </w:rPr>
        <w:t xml:space="preserve"> has argued that a better approach to the problem of systemic risk should be located outside particular banking institutions in a “liquidity provider of last resort.” In some sense, </w:t>
      </w:r>
      <w:proofErr w:type="spellStart"/>
      <w:r w:rsidRPr="00D05D57">
        <w:rPr>
          <w:rFonts w:ascii="Helvetica" w:eastAsia="Times New Roman" w:hAnsi="Helvetica" w:cs="Helvetica"/>
          <w:i/>
          <w:color w:val="0A1B32"/>
          <w:sz w:val="27"/>
          <w:szCs w:val="27"/>
          <w:lang w:val="en-US" w:eastAsia="pl-PL"/>
        </w:rPr>
        <w:t>Schwarcz</w:t>
      </w:r>
      <w:proofErr w:type="spellEnd"/>
      <w:r w:rsidRPr="00D05D57">
        <w:rPr>
          <w:rFonts w:ascii="Helvetica" w:eastAsia="Times New Roman" w:hAnsi="Helvetica" w:cs="Helvetica"/>
          <w:i/>
          <w:color w:val="0A1B32"/>
          <w:sz w:val="27"/>
          <w:szCs w:val="27"/>
          <w:lang w:val="en-US" w:eastAsia="pl-PL"/>
        </w:rPr>
        <w:t xml:space="preserve"> anticipated the immediate crisis’ responses, which might be described as a bundle of state-provided liquidity and capital infusions to the broad banking sector.</w:t>
      </w:r>
    </w:p>
    <w:p w:rsidR="00D05D57" w:rsidRPr="00141AC1" w:rsidRDefault="00D05D57" w:rsidP="00D05D57">
      <w:pPr>
        <w:spacing w:after="100" w:afterAutospacing="1" w:line="240" w:lineRule="auto"/>
        <w:jc w:val="both"/>
        <w:rPr>
          <w:rFonts w:ascii="Helvetica" w:eastAsia="Times New Roman" w:hAnsi="Helvetica" w:cs="Helvetica"/>
          <w:b/>
          <w:i/>
          <w:color w:val="0A1B32"/>
          <w:sz w:val="27"/>
          <w:szCs w:val="27"/>
          <w:lang w:val="en-US" w:eastAsia="pl-PL"/>
        </w:rPr>
      </w:pPr>
      <w:r w:rsidRPr="00141AC1">
        <w:rPr>
          <w:rFonts w:ascii="Helvetica" w:eastAsia="Times New Roman" w:hAnsi="Helvetica" w:cs="Helvetica"/>
          <w:b/>
          <w:i/>
          <w:color w:val="0A1B32"/>
          <w:sz w:val="27"/>
          <w:szCs w:val="27"/>
          <w:lang w:val="en-US" w:eastAsia="pl-PL"/>
        </w:rPr>
        <w:t>50. Why is Basel II blamed for precipitating the 2008 financial crisis?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Among the things that caused the financial crisis was that the Basel II committee and banks underestimated both the risk of losses on their assets and their exposure to the failure of others</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One weakness of Basel II emerged during the subprime mortgage meltdown and Great Recession of 2008 when it became clear that Basel II underestimated the risks involved in current banking practices and that the financial system was overleveraged and undercapitalized.</w:t>
      </w:r>
    </w:p>
    <w:p w:rsidR="00D05D57" w:rsidRPr="00D05D57" w:rsidRDefault="00D05D57" w:rsidP="00D05D57">
      <w:pPr>
        <w:spacing w:after="100" w:afterAutospacing="1" w:line="240" w:lineRule="auto"/>
        <w:jc w:val="both"/>
        <w:rPr>
          <w:rFonts w:ascii="Helvetica" w:eastAsia="Times New Roman" w:hAnsi="Helvetica" w:cs="Helvetica"/>
          <w:i/>
          <w:color w:val="0A1B32"/>
          <w:sz w:val="27"/>
          <w:szCs w:val="27"/>
          <w:lang w:val="en-US" w:eastAsia="pl-PL"/>
        </w:rPr>
      </w:pPr>
      <w:r w:rsidRPr="00D05D57">
        <w:rPr>
          <w:rFonts w:ascii="Helvetica" w:eastAsia="Times New Roman" w:hAnsi="Helvetica" w:cs="Helvetica"/>
          <w:i/>
          <w:color w:val="0A1B32"/>
          <w:sz w:val="27"/>
          <w:szCs w:val="27"/>
          <w:lang w:val="en-US" w:eastAsia="pl-PL"/>
        </w:rPr>
        <w:t>Basel II’s failure, I argue, lies in regulatory capture, ‘de facto control of the state and its regulatory agencies by the ‘regulated’ interests, enabling these interests to transfer wealth to themselves at the expense of society’.3 Large international banks were able to systematically manipulate outcomes in Basel II’s regulatory process to their advantage, at the expense of their smaller and emerging market competitors and, above all, systemic financial stability. To understand why this happened, I present an analytical framework which sets out the broad conditions under which capture is expected to occur. My framework draws on what I call the ‘neo-</w:t>
      </w:r>
      <w:proofErr w:type="spellStart"/>
      <w:r w:rsidRPr="00D05D57">
        <w:rPr>
          <w:rFonts w:ascii="Helvetica" w:eastAsia="Times New Roman" w:hAnsi="Helvetica" w:cs="Helvetica"/>
          <w:i/>
          <w:color w:val="0A1B32"/>
          <w:sz w:val="27"/>
          <w:szCs w:val="27"/>
          <w:lang w:val="en-US" w:eastAsia="pl-PL"/>
        </w:rPr>
        <w:t>proceduralist</w:t>
      </w:r>
      <w:proofErr w:type="spellEnd"/>
      <w:r w:rsidRPr="00D05D57">
        <w:rPr>
          <w:rFonts w:ascii="Helvetica" w:eastAsia="Times New Roman" w:hAnsi="Helvetica" w:cs="Helvetica"/>
          <w:i/>
          <w:color w:val="0A1B32"/>
          <w:sz w:val="27"/>
          <w:szCs w:val="27"/>
          <w:lang w:val="en-US" w:eastAsia="pl-PL"/>
        </w:rPr>
        <w:t xml:space="preserve">’ school of global regulation, developed in recent work by Walter </w:t>
      </w:r>
      <w:proofErr w:type="spellStart"/>
      <w:r w:rsidRPr="00D05D57">
        <w:rPr>
          <w:rFonts w:ascii="Helvetica" w:eastAsia="Times New Roman" w:hAnsi="Helvetica" w:cs="Helvetica"/>
          <w:i/>
          <w:color w:val="0A1B32"/>
          <w:sz w:val="27"/>
          <w:szCs w:val="27"/>
          <w:lang w:val="en-US" w:eastAsia="pl-PL"/>
        </w:rPr>
        <w:t>Mattli</w:t>
      </w:r>
      <w:proofErr w:type="spellEnd"/>
      <w:r w:rsidRPr="00D05D57">
        <w:rPr>
          <w:rFonts w:ascii="Helvetica" w:eastAsia="Times New Roman" w:hAnsi="Helvetica" w:cs="Helvetica"/>
          <w:i/>
          <w:color w:val="0A1B32"/>
          <w:sz w:val="27"/>
          <w:szCs w:val="27"/>
          <w:lang w:val="en-US" w:eastAsia="pl-PL"/>
        </w:rPr>
        <w:t xml:space="preserve"> and </w:t>
      </w:r>
      <w:proofErr w:type="spellStart"/>
      <w:r w:rsidRPr="00D05D57">
        <w:rPr>
          <w:rFonts w:ascii="Helvetica" w:eastAsia="Times New Roman" w:hAnsi="Helvetica" w:cs="Helvetica"/>
          <w:i/>
          <w:color w:val="0A1B32"/>
          <w:sz w:val="27"/>
          <w:szCs w:val="27"/>
          <w:lang w:val="en-US" w:eastAsia="pl-PL"/>
        </w:rPr>
        <w:t>Ngaire</w:t>
      </w:r>
      <w:proofErr w:type="spellEnd"/>
      <w:r w:rsidRPr="00D05D57">
        <w:rPr>
          <w:rFonts w:ascii="Helvetica" w:eastAsia="Times New Roman" w:hAnsi="Helvetica" w:cs="Helvetica"/>
          <w:i/>
          <w:color w:val="0A1B32"/>
          <w:sz w:val="27"/>
          <w:szCs w:val="27"/>
          <w:lang w:val="en-US" w:eastAsia="pl-PL"/>
        </w:rPr>
        <w:t xml:space="preserve"> Woods, which emphasizes two types of conditions. The first are so-called ‘supply-side’ conditions concerning the institutional context in which Basel II was drafted, and the second are ‘demand-side’ conditions concerning the extent of societal pressure for new regulation. I argue, however, that the neo-</w:t>
      </w:r>
      <w:proofErr w:type="spellStart"/>
      <w:r w:rsidRPr="00D05D57">
        <w:rPr>
          <w:rFonts w:ascii="Helvetica" w:eastAsia="Times New Roman" w:hAnsi="Helvetica" w:cs="Helvetica"/>
          <w:i/>
          <w:color w:val="0A1B32"/>
          <w:sz w:val="27"/>
          <w:szCs w:val="27"/>
          <w:lang w:val="en-US" w:eastAsia="pl-PL"/>
        </w:rPr>
        <w:t>proceduralism</w:t>
      </w:r>
      <w:proofErr w:type="spellEnd"/>
      <w:r w:rsidRPr="00D05D57">
        <w:rPr>
          <w:rFonts w:ascii="Helvetica" w:eastAsia="Times New Roman" w:hAnsi="Helvetica" w:cs="Helvetica"/>
          <w:i/>
          <w:color w:val="0A1B32"/>
          <w:sz w:val="27"/>
          <w:szCs w:val="27"/>
          <w:lang w:val="en-US" w:eastAsia="pl-PL"/>
        </w:rPr>
        <w:t xml:space="preserve"> can be strengthened as a theory of global regulatory processes by proper temporal contextualization. It is only by conceiving of capture as a process that unfolds over time that we can appreciate exactly how supply- and demand-side factors combined to give large international banks disproportionate influence over the Basel process. As it will later become clear, this theoretical innovation has implications that go beyond Basel II. It allows us to understand not only why the Basel Committee failed to achieve its objectives for the accord, but also why some of the more latest </w:t>
      </w:r>
      <w:r w:rsidRPr="00D05D57">
        <w:rPr>
          <w:rFonts w:ascii="Helvetica" w:eastAsia="Times New Roman" w:hAnsi="Helvetica" w:cs="Helvetica"/>
          <w:i/>
          <w:color w:val="0A1B32"/>
          <w:sz w:val="27"/>
          <w:szCs w:val="27"/>
          <w:lang w:val="en-US" w:eastAsia="pl-PL"/>
        </w:rPr>
        <w:lastRenderedPageBreak/>
        <w:t>proposals in international banking regulation – despite the tremendous political will behind them – have enjoyed no more success. The failure of these proposals, my analysis warns, is very much a case of history repeating itself.</w:t>
      </w:r>
    </w:p>
    <w:p w:rsidR="00D05D57" w:rsidRPr="00754929" w:rsidRDefault="00D05D57" w:rsidP="00CC3674">
      <w:pPr>
        <w:spacing w:after="100" w:afterAutospacing="1" w:line="240" w:lineRule="auto"/>
        <w:jc w:val="both"/>
        <w:rPr>
          <w:rFonts w:ascii="Helvetica" w:eastAsia="Times New Roman" w:hAnsi="Helvetica" w:cs="Helvetica"/>
          <w:i/>
          <w:color w:val="0A1B32"/>
          <w:sz w:val="27"/>
          <w:szCs w:val="27"/>
          <w:lang w:val="en-US" w:eastAsia="pl-PL"/>
        </w:rPr>
      </w:pPr>
    </w:p>
    <w:p w:rsidR="00F02EB4" w:rsidRPr="00922D64" w:rsidRDefault="00F02EB4">
      <w:pPr>
        <w:rPr>
          <w:b/>
          <w:lang w:val="en-US"/>
        </w:rPr>
      </w:pPr>
    </w:p>
    <w:sectPr w:rsidR="00F02EB4" w:rsidRPr="00922D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heltenham-Bold">
    <w:panose1 w:val="00000000000000000000"/>
    <w:charset w:val="EE"/>
    <w:family w:val="auto"/>
    <w:notTrueType/>
    <w:pitch w:val="default"/>
    <w:sig w:usb0="00000005" w:usb1="00000000" w:usb2="00000000" w:usb3="00000000" w:csb0="00000002" w:csb1="00000000"/>
  </w:font>
  <w:font w:name="Cheltenham-Book">
    <w:panose1 w:val="00000000000000000000"/>
    <w:charset w:val="EE"/>
    <w:family w:val="auto"/>
    <w:notTrueType/>
    <w:pitch w:val="default"/>
    <w:sig w:usb0="00000005" w:usb1="00000000" w:usb2="00000000" w:usb3="00000000" w:csb0="00000002" w:csb1="00000000"/>
  </w:font>
  <w:font w:name="AshleyScriptMT">
    <w:panose1 w:val="00000000000000000000"/>
    <w:charset w:val="EE"/>
    <w:family w:val="auto"/>
    <w:notTrueType/>
    <w:pitch w:val="default"/>
    <w:sig w:usb0="00000005" w:usb1="00000000" w:usb2="00000000" w:usb3="00000000" w:csb0="00000002" w:csb1="00000000"/>
  </w:font>
  <w:font w:name="Cheltenham-BookItalic">
    <w:panose1 w:val="00000000000000000000"/>
    <w:charset w:val="EE"/>
    <w:family w:val="auto"/>
    <w:notTrueType/>
    <w:pitch w:val="default"/>
    <w:sig w:usb0="00000005" w:usb1="00000000" w:usb2="00000000" w:usb3="00000000" w:csb0="00000002" w:csb1="00000000"/>
  </w:font>
  <w:font w:name="MTSY">
    <w:altName w:val="Malgun Gothic"/>
    <w:panose1 w:val="00000000000000000000"/>
    <w:charset w:val="81"/>
    <w:family w:val="auto"/>
    <w:notTrueType/>
    <w:pitch w:val="default"/>
    <w:sig w:usb0="00000001" w:usb1="09060000" w:usb2="00000010" w:usb3="00000000" w:csb0="00080000" w:csb1="00000000"/>
  </w:font>
  <w:font w:name="MTMI">
    <w:altName w:val="MS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TEX">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13D5"/>
    <w:multiLevelType w:val="hybridMultilevel"/>
    <w:tmpl w:val="0DDE4A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6919A3"/>
    <w:multiLevelType w:val="multilevel"/>
    <w:tmpl w:val="6376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25C09"/>
    <w:multiLevelType w:val="hybridMultilevel"/>
    <w:tmpl w:val="C77EB4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FFD032D"/>
    <w:multiLevelType w:val="hybridMultilevel"/>
    <w:tmpl w:val="EDDC9C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51A293C"/>
    <w:multiLevelType w:val="hybridMultilevel"/>
    <w:tmpl w:val="1B8A0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99F1698"/>
    <w:multiLevelType w:val="hybridMultilevel"/>
    <w:tmpl w:val="D326D0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5042F0"/>
    <w:multiLevelType w:val="multilevel"/>
    <w:tmpl w:val="58CAB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45453"/>
    <w:multiLevelType w:val="multilevel"/>
    <w:tmpl w:val="6262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B3A5A"/>
    <w:multiLevelType w:val="hybridMultilevel"/>
    <w:tmpl w:val="905CBF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F9B14CB"/>
    <w:multiLevelType w:val="multilevel"/>
    <w:tmpl w:val="B54A5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21021"/>
    <w:multiLevelType w:val="hybridMultilevel"/>
    <w:tmpl w:val="CD82A9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204395E"/>
    <w:multiLevelType w:val="multilevel"/>
    <w:tmpl w:val="098C8F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C351E"/>
    <w:multiLevelType w:val="hybridMultilevel"/>
    <w:tmpl w:val="F19A34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6497362"/>
    <w:multiLevelType w:val="hybridMultilevel"/>
    <w:tmpl w:val="864EDBCC"/>
    <w:lvl w:ilvl="0" w:tplc="09763200">
      <w:numFmt w:val="bullet"/>
      <w:lvlText w:val="-"/>
      <w:lvlJc w:val="left"/>
      <w:pPr>
        <w:ind w:left="720" w:hanging="360"/>
      </w:pPr>
      <w:rPr>
        <w:rFonts w:ascii="Helvetica" w:eastAsia="Times New Roman" w:hAnsi="Helvetica" w:cs="Helvetica"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C8C31E3"/>
    <w:multiLevelType w:val="hybridMultilevel"/>
    <w:tmpl w:val="F70C44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0271651"/>
    <w:multiLevelType w:val="hybridMultilevel"/>
    <w:tmpl w:val="981003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31322F9"/>
    <w:multiLevelType w:val="multilevel"/>
    <w:tmpl w:val="A6F21D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73454"/>
    <w:multiLevelType w:val="hybridMultilevel"/>
    <w:tmpl w:val="7ED2D2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22B2C8B"/>
    <w:multiLevelType w:val="multilevel"/>
    <w:tmpl w:val="36389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84C0B"/>
    <w:multiLevelType w:val="hybridMultilevel"/>
    <w:tmpl w:val="056A16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63E00AC"/>
    <w:multiLevelType w:val="multilevel"/>
    <w:tmpl w:val="E6166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909E6"/>
    <w:multiLevelType w:val="hybridMultilevel"/>
    <w:tmpl w:val="C750FB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CC138BF"/>
    <w:multiLevelType w:val="hybridMultilevel"/>
    <w:tmpl w:val="6DA0F3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CC854EA"/>
    <w:multiLevelType w:val="hybridMultilevel"/>
    <w:tmpl w:val="AA1C96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13"/>
  </w:num>
  <w:num w:numId="4">
    <w:abstractNumId w:val="15"/>
  </w:num>
  <w:num w:numId="5">
    <w:abstractNumId w:val="2"/>
  </w:num>
  <w:num w:numId="6">
    <w:abstractNumId w:val="14"/>
  </w:num>
  <w:num w:numId="7">
    <w:abstractNumId w:val="8"/>
  </w:num>
  <w:num w:numId="8">
    <w:abstractNumId w:val="10"/>
  </w:num>
  <w:num w:numId="9">
    <w:abstractNumId w:val="17"/>
  </w:num>
  <w:num w:numId="10">
    <w:abstractNumId w:val="7"/>
  </w:num>
  <w:num w:numId="11">
    <w:abstractNumId w:val="1"/>
  </w:num>
  <w:num w:numId="12">
    <w:abstractNumId w:val="3"/>
  </w:num>
  <w:num w:numId="13">
    <w:abstractNumId w:val="11"/>
  </w:num>
  <w:num w:numId="14">
    <w:abstractNumId w:val="6"/>
  </w:num>
  <w:num w:numId="15">
    <w:abstractNumId w:val="18"/>
  </w:num>
  <w:num w:numId="16">
    <w:abstractNumId w:val="9"/>
  </w:num>
  <w:num w:numId="17">
    <w:abstractNumId w:val="20"/>
  </w:num>
  <w:num w:numId="18">
    <w:abstractNumId w:val="16"/>
  </w:num>
  <w:num w:numId="19">
    <w:abstractNumId w:val="4"/>
  </w:num>
  <w:num w:numId="20">
    <w:abstractNumId w:val="0"/>
  </w:num>
  <w:num w:numId="21">
    <w:abstractNumId w:val="12"/>
  </w:num>
  <w:num w:numId="22">
    <w:abstractNumId w:val="5"/>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29"/>
    <w:rsid w:val="00015128"/>
    <w:rsid w:val="0008500A"/>
    <w:rsid w:val="000866C3"/>
    <w:rsid w:val="000A1C98"/>
    <w:rsid w:val="000B4C4F"/>
    <w:rsid w:val="001067E5"/>
    <w:rsid w:val="0013613F"/>
    <w:rsid w:val="00141AC1"/>
    <w:rsid w:val="00163425"/>
    <w:rsid w:val="001B5267"/>
    <w:rsid w:val="001C1C9E"/>
    <w:rsid w:val="001F0CAA"/>
    <w:rsid w:val="00240498"/>
    <w:rsid w:val="00273282"/>
    <w:rsid w:val="0027628D"/>
    <w:rsid w:val="0028318B"/>
    <w:rsid w:val="002B0A19"/>
    <w:rsid w:val="002E0663"/>
    <w:rsid w:val="00317B89"/>
    <w:rsid w:val="00345319"/>
    <w:rsid w:val="00345671"/>
    <w:rsid w:val="00393675"/>
    <w:rsid w:val="00393CC8"/>
    <w:rsid w:val="003D3B9D"/>
    <w:rsid w:val="0046008A"/>
    <w:rsid w:val="00464AEC"/>
    <w:rsid w:val="004B6103"/>
    <w:rsid w:val="005277DC"/>
    <w:rsid w:val="005455BF"/>
    <w:rsid w:val="00547630"/>
    <w:rsid w:val="00547945"/>
    <w:rsid w:val="00552F35"/>
    <w:rsid w:val="005F4F7A"/>
    <w:rsid w:val="006508E6"/>
    <w:rsid w:val="00661212"/>
    <w:rsid w:val="006C79C1"/>
    <w:rsid w:val="006E3A0B"/>
    <w:rsid w:val="0071106C"/>
    <w:rsid w:val="00754929"/>
    <w:rsid w:val="007752A7"/>
    <w:rsid w:val="007A1F38"/>
    <w:rsid w:val="007A44DB"/>
    <w:rsid w:val="007D4FCA"/>
    <w:rsid w:val="007E585A"/>
    <w:rsid w:val="007F6464"/>
    <w:rsid w:val="008468AF"/>
    <w:rsid w:val="008524FE"/>
    <w:rsid w:val="00875A7E"/>
    <w:rsid w:val="008900AD"/>
    <w:rsid w:val="008E0E50"/>
    <w:rsid w:val="00922D64"/>
    <w:rsid w:val="009445D6"/>
    <w:rsid w:val="009624F8"/>
    <w:rsid w:val="0099489A"/>
    <w:rsid w:val="009B5034"/>
    <w:rsid w:val="009E5446"/>
    <w:rsid w:val="00A27F7B"/>
    <w:rsid w:val="00A47A0E"/>
    <w:rsid w:val="00A636EE"/>
    <w:rsid w:val="00A87EBA"/>
    <w:rsid w:val="00A9340B"/>
    <w:rsid w:val="00AF7C69"/>
    <w:rsid w:val="00B01777"/>
    <w:rsid w:val="00B21CC0"/>
    <w:rsid w:val="00B55BD8"/>
    <w:rsid w:val="00B56601"/>
    <w:rsid w:val="00B6309B"/>
    <w:rsid w:val="00B92675"/>
    <w:rsid w:val="00B97369"/>
    <w:rsid w:val="00BB7AD2"/>
    <w:rsid w:val="00C107B0"/>
    <w:rsid w:val="00C206BC"/>
    <w:rsid w:val="00C4146A"/>
    <w:rsid w:val="00CC3674"/>
    <w:rsid w:val="00CD0922"/>
    <w:rsid w:val="00CD39AE"/>
    <w:rsid w:val="00D05D57"/>
    <w:rsid w:val="00D26F43"/>
    <w:rsid w:val="00D90EDB"/>
    <w:rsid w:val="00E757B3"/>
    <w:rsid w:val="00E8047E"/>
    <w:rsid w:val="00E96144"/>
    <w:rsid w:val="00EA69D5"/>
    <w:rsid w:val="00EC3B81"/>
    <w:rsid w:val="00ED0905"/>
    <w:rsid w:val="00EE0BB8"/>
    <w:rsid w:val="00EE3E9E"/>
    <w:rsid w:val="00F02EB4"/>
    <w:rsid w:val="00F336A5"/>
    <w:rsid w:val="00F370CD"/>
    <w:rsid w:val="00F61CC3"/>
    <w:rsid w:val="00F66ADC"/>
    <w:rsid w:val="00F71DCD"/>
    <w:rsid w:val="00F81060"/>
    <w:rsid w:val="00FA2A77"/>
    <w:rsid w:val="00FD318C"/>
    <w:rsid w:val="00FE5B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16E8"/>
  <w15:chartTrackingRefBased/>
  <w15:docId w15:val="{41B6775B-E295-4807-9897-2B5835B0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5D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3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4929"/>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4929"/>
    <w:rPr>
      <w:rFonts w:ascii="Times New Roman" w:eastAsia="Times New Roman" w:hAnsi="Times New Roman" w:cs="Times New Roman"/>
      <w:b/>
      <w:bCs/>
      <w:sz w:val="27"/>
      <w:szCs w:val="27"/>
      <w:lang w:eastAsia="pl-PL"/>
    </w:rPr>
  </w:style>
  <w:style w:type="character" w:styleId="Strong">
    <w:name w:val="Strong"/>
    <w:basedOn w:val="DefaultParagraphFont"/>
    <w:uiPriority w:val="22"/>
    <w:qFormat/>
    <w:rsid w:val="00754929"/>
    <w:rPr>
      <w:b/>
      <w:bCs/>
    </w:rPr>
  </w:style>
  <w:style w:type="paragraph" w:styleId="NormalWeb">
    <w:name w:val="Normal (Web)"/>
    <w:basedOn w:val="Normal"/>
    <w:uiPriority w:val="99"/>
    <w:unhideWhenUsed/>
    <w:rsid w:val="0075492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ListParagraph">
    <w:name w:val="List Paragraph"/>
    <w:basedOn w:val="Normal"/>
    <w:uiPriority w:val="34"/>
    <w:qFormat/>
    <w:rsid w:val="00922D64"/>
    <w:pPr>
      <w:ind w:left="720"/>
      <w:contextualSpacing/>
    </w:pPr>
  </w:style>
  <w:style w:type="character" w:customStyle="1" w:styleId="Heading2Char">
    <w:name w:val="Heading 2 Char"/>
    <w:basedOn w:val="DefaultParagraphFont"/>
    <w:link w:val="Heading2"/>
    <w:uiPriority w:val="9"/>
    <w:semiHidden/>
    <w:rsid w:val="00B6309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6309B"/>
    <w:rPr>
      <w:color w:val="0563C1" w:themeColor="hyperlink"/>
      <w:u w:val="single"/>
    </w:rPr>
  </w:style>
  <w:style w:type="character" w:styleId="Emphasis">
    <w:name w:val="Emphasis"/>
    <w:basedOn w:val="DefaultParagraphFont"/>
    <w:uiPriority w:val="20"/>
    <w:qFormat/>
    <w:rsid w:val="006C79C1"/>
    <w:rPr>
      <w:i/>
      <w:iCs/>
    </w:rPr>
  </w:style>
  <w:style w:type="paragraph" w:customStyle="1" w:styleId="q-text">
    <w:name w:val="q-text"/>
    <w:basedOn w:val="Normal"/>
    <w:rsid w:val="00B56601"/>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attribution">
    <w:name w:val="attribution"/>
    <w:basedOn w:val="Normal"/>
    <w:rsid w:val="008E0E5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uiPriority w:val="9"/>
    <w:rsid w:val="00D05D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75145">
      <w:bodyDiv w:val="1"/>
      <w:marLeft w:val="0"/>
      <w:marRight w:val="0"/>
      <w:marTop w:val="0"/>
      <w:marBottom w:val="0"/>
      <w:divBdr>
        <w:top w:val="none" w:sz="0" w:space="0" w:color="auto"/>
        <w:left w:val="none" w:sz="0" w:space="0" w:color="auto"/>
        <w:bottom w:val="none" w:sz="0" w:space="0" w:color="auto"/>
        <w:right w:val="none" w:sz="0" w:space="0" w:color="auto"/>
      </w:divBdr>
    </w:div>
    <w:div w:id="287053450">
      <w:bodyDiv w:val="1"/>
      <w:marLeft w:val="0"/>
      <w:marRight w:val="0"/>
      <w:marTop w:val="0"/>
      <w:marBottom w:val="0"/>
      <w:divBdr>
        <w:top w:val="none" w:sz="0" w:space="0" w:color="auto"/>
        <w:left w:val="none" w:sz="0" w:space="0" w:color="auto"/>
        <w:bottom w:val="none" w:sz="0" w:space="0" w:color="auto"/>
        <w:right w:val="none" w:sz="0" w:space="0" w:color="auto"/>
      </w:divBdr>
    </w:div>
    <w:div w:id="313919249">
      <w:bodyDiv w:val="1"/>
      <w:marLeft w:val="0"/>
      <w:marRight w:val="0"/>
      <w:marTop w:val="0"/>
      <w:marBottom w:val="0"/>
      <w:divBdr>
        <w:top w:val="none" w:sz="0" w:space="0" w:color="auto"/>
        <w:left w:val="none" w:sz="0" w:space="0" w:color="auto"/>
        <w:bottom w:val="none" w:sz="0" w:space="0" w:color="auto"/>
        <w:right w:val="none" w:sz="0" w:space="0" w:color="auto"/>
      </w:divBdr>
      <w:divsChild>
        <w:div w:id="1071343673">
          <w:marLeft w:val="0"/>
          <w:marRight w:val="0"/>
          <w:marTop w:val="0"/>
          <w:marBottom w:val="0"/>
          <w:divBdr>
            <w:top w:val="none" w:sz="0" w:space="0" w:color="auto"/>
            <w:left w:val="none" w:sz="0" w:space="0" w:color="auto"/>
            <w:bottom w:val="none" w:sz="0" w:space="0" w:color="auto"/>
            <w:right w:val="none" w:sz="0" w:space="0" w:color="auto"/>
          </w:divBdr>
          <w:divsChild>
            <w:div w:id="524055592">
              <w:marLeft w:val="0"/>
              <w:marRight w:val="0"/>
              <w:marTop w:val="0"/>
              <w:marBottom w:val="0"/>
              <w:divBdr>
                <w:top w:val="none" w:sz="0" w:space="0" w:color="auto"/>
                <w:left w:val="none" w:sz="0" w:space="0" w:color="auto"/>
                <w:bottom w:val="none" w:sz="0" w:space="0" w:color="auto"/>
                <w:right w:val="none" w:sz="0" w:space="0" w:color="auto"/>
              </w:divBdr>
              <w:divsChild>
                <w:div w:id="2419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97932">
      <w:bodyDiv w:val="1"/>
      <w:marLeft w:val="0"/>
      <w:marRight w:val="0"/>
      <w:marTop w:val="0"/>
      <w:marBottom w:val="0"/>
      <w:divBdr>
        <w:top w:val="none" w:sz="0" w:space="0" w:color="auto"/>
        <w:left w:val="none" w:sz="0" w:space="0" w:color="auto"/>
        <w:bottom w:val="none" w:sz="0" w:space="0" w:color="auto"/>
        <w:right w:val="none" w:sz="0" w:space="0" w:color="auto"/>
      </w:divBdr>
    </w:div>
    <w:div w:id="602109637">
      <w:bodyDiv w:val="1"/>
      <w:marLeft w:val="0"/>
      <w:marRight w:val="0"/>
      <w:marTop w:val="0"/>
      <w:marBottom w:val="0"/>
      <w:divBdr>
        <w:top w:val="none" w:sz="0" w:space="0" w:color="auto"/>
        <w:left w:val="none" w:sz="0" w:space="0" w:color="auto"/>
        <w:bottom w:val="none" w:sz="0" w:space="0" w:color="auto"/>
        <w:right w:val="none" w:sz="0" w:space="0" w:color="auto"/>
      </w:divBdr>
      <w:divsChild>
        <w:div w:id="1487234993">
          <w:marLeft w:val="0"/>
          <w:marRight w:val="0"/>
          <w:marTop w:val="75"/>
          <w:marBottom w:val="75"/>
          <w:divBdr>
            <w:top w:val="none" w:sz="0" w:space="0" w:color="auto"/>
            <w:left w:val="none" w:sz="0" w:space="0" w:color="auto"/>
            <w:bottom w:val="none" w:sz="0" w:space="0" w:color="auto"/>
            <w:right w:val="none" w:sz="0" w:space="0" w:color="auto"/>
          </w:divBdr>
          <w:divsChild>
            <w:div w:id="4704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0316">
      <w:bodyDiv w:val="1"/>
      <w:marLeft w:val="0"/>
      <w:marRight w:val="0"/>
      <w:marTop w:val="0"/>
      <w:marBottom w:val="0"/>
      <w:divBdr>
        <w:top w:val="none" w:sz="0" w:space="0" w:color="auto"/>
        <w:left w:val="none" w:sz="0" w:space="0" w:color="auto"/>
        <w:bottom w:val="none" w:sz="0" w:space="0" w:color="auto"/>
        <w:right w:val="none" w:sz="0" w:space="0" w:color="auto"/>
      </w:divBdr>
      <w:divsChild>
        <w:div w:id="730345887">
          <w:marLeft w:val="0"/>
          <w:marRight w:val="0"/>
          <w:marTop w:val="75"/>
          <w:marBottom w:val="75"/>
          <w:divBdr>
            <w:top w:val="none" w:sz="0" w:space="0" w:color="auto"/>
            <w:left w:val="none" w:sz="0" w:space="0" w:color="auto"/>
            <w:bottom w:val="none" w:sz="0" w:space="0" w:color="auto"/>
            <w:right w:val="none" w:sz="0" w:space="0" w:color="auto"/>
          </w:divBdr>
          <w:divsChild>
            <w:div w:id="15027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0227">
      <w:bodyDiv w:val="1"/>
      <w:marLeft w:val="0"/>
      <w:marRight w:val="0"/>
      <w:marTop w:val="0"/>
      <w:marBottom w:val="0"/>
      <w:divBdr>
        <w:top w:val="none" w:sz="0" w:space="0" w:color="auto"/>
        <w:left w:val="none" w:sz="0" w:space="0" w:color="auto"/>
        <w:bottom w:val="none" w:sz="0" w:space="0" w:color="auto"/>
        <w:right w:val="none" w:sz="0" w:space="0" w:color="auto"/>
      </w:divBdr>
    </w:div>
    <w:div w:id="973683028">
      <w:bodyDiv w:val="1"/>
      <w:marLeft w:val="0"/>
      <w:marRight w:val="0"/>
      <w:marTop w:val="0"/>
      <w:marBottom w:val="0"/>
      <w:divBdr>
        <w:top w:val="none" w:sz="0" w:space="0" w:color="auto"/>
        <w:left w:val="none" w:sz="0" w:space="0" w:color="auto"/>
        <w:bottom w:val="none" w:sz="0" w:space="0" w:color="auto"/>
        <w:right w:val="none" w:sz="0" w:space="0" w:color="auto"/>
      </w:divBdr>
    </w:div>
    <w:div w:id="1080519554">
      <w:bodyDiv w:val="1"/>
      <w:marLeft w:val="0"/>
      <w:marRight w:val="0"/>
      <w:marTop w:val="0"/>
      <w:marBottom w:val="0"/>
      <w:divBdr>
        <w:top w:val="none" w:sz="0" w:space="0" w:color="auto"/>
        <w:left w:val="none" w:sz="0" w:space="0" w:color="auto"/>
        <w:bottom w:val="none" w:sz="0" w:space="0" w:color="auto"/>
        <w:right w:val="none" w:sz="0" w:space="0" w:color="auto"/>
      </w:divBdr>
      <w:divsChild>
        <w:div w:id="532618330">
          <w:marLeft w:val="0"/>
          <w:marRight w:val="0"/>
          <w:marTop w:val="0"/>
          <w:marBottom w:val="0"/>
          <w:divBdr>
            <w:top w:val="none" w:sz="0" w:space="0" w:color="auto"/>
            <w:left w:val="none" w:sz="0" w:space="0" w:color="auto"/>
            <w:bottom w:val="none" w:sz="0" w:space="0" w:color="auto"/>
            <w:right w:val="none" w:sz="0" w:space="0" w:color="auto"/>
          </w:divBdr>
        </w:div>
      </w:divsChild>
    </w:div>
    <w:div w:id="1495338736">
      <w:bodyDiv w:val="1"/>
      <w:marLeft w:val="0"/>
      <w:marRight w:val="0"/>
      <w:marTop w:val="0"/>
      <w:marBottom w:val="0"/>
      <w:divBdr>
        <w:top w:val="none" w:sz="0" w:space="0" w:color="auto"/>
        <w:left w:val="none" w:sz="0" w:space="0" w:color="auto"/>
        <w:bottom w:val="none" w:sz="0" w:space="0" w:color="auto"/>
        <w:right w:val="none" w:sz="0" w:space="0" w:color="auto"/>
      </w:divBdr>
    </w:div>
    <w:div w:id="1878397152">
      <w:bodyDiv w:val="1"/>
      <w:marLeft w:val="0"/>
      <w:marRight w:val="0"/>
      <w:marTop w:val="0"/>
      <w:marBottom w:val="0"/>
      <w:divBdr>
        <w:top w:val="none" w:sz="0" w:space="0" w:color="auto"/>
        <w:left w:val="none" w:sz="0" w:space="0" w:color="auto"/>
        <w:bottom w:val="none" w:sz="0" w:space="0" w:color="auto"/>
        <w:right w:val="none" w:sz="0" w:space="0" w:color="auto"/>
      </w:divBdr>
    </w:div>
    <w:div w:id="1979721200">
      <w:bodyDiv w:val="1"/>
      <w:marLeft w:val="0"/>
      <w:marRight w:val="0"/>
      <w:marTop w:val="0"/>
      <w:marBottom w:val="0"/>
      <w:divBdr>
        <w:top w:val="none" w:sz="0" w:space="0" w:color="auto"/>
        <w:left w:val="none" w:sz="0" w:space="0" w:color="auto"/>
        <w:bottom w:val="none" w:sz="0" w:space="0" w:color="auto"/>
        <w:right w:val="none" w:sz="0" w:space="0" w:color="auto"/>
      </w:divBdr>
      <w:divsChild>
        <w:div w:id="94643416">
          <w:marLeft w:val="-120"/>
          <w:marRight w:val="-120"/>
          <w:marTop w:val="0"/>
          <w:marBottom w:val="0"/>
          <w:divBdr>
            <w:top w:val="none" w:sz="0" w:space="0" w:color="auto"/>
            <w:left w:val="none" w:sz="0" w:space="0" w:color="auto"/>
            <w:bottom w:val="none" w:sz="0" w:space="0" w:color="auto"/>
            <w:right w:val="none" w:sz="0" w:space="0" w:color="auto"/>
          </w:divBdr>
          <w:divsChild>
            <w:div w:id="2145464407">
              <w:marLeft w:val="0"/>
              <w:marRight w:val="0"/>
              <w:marTop w:val="0"/>
              <w:marBottom w:val="0"/>
              <w:divBdr>
                <w:top w:val="none" w:sz="0" w:space="0" w:color="auto"/>
                <w:left w:val="none" w:sz="0" w:space="0" w:color="auto"/>
                <w:bottom w:val="none" w:sz="0" w:space="0" w:color="auto"/>
                <w:right w:val="none" w:sz="0" w:space="0" w:color="auto"/>
              </w:divBdr>
            </w:div>
          </w:divsChild>
        </w:div>
        <w:div w:id="1753355136">
          <w:marLeft w:val="-120"/>
          <w:marRight w:val="-120"/>
          <w:marTop w:val="0"/>
          <w:marBottom w:val="0"/>
          <w:divBdr>
            <w:top w:val="none" w:sz="0" w:space="0" w:color="auto"/>
            <w:left w:val="none" w:sz="0" w:space="0" w:color="auto"/>
            <w:bottom w:val="none" w:sz="0" w:space="0" w:color="auto"/>
            <w:right w:val="none" w:sz="0" w:space="0" w:color="auto"/>
          </w:divBdr>
          <w:divsChild>
            <w:div w:id="332687734">
              <w:marLeft w:val="0"/>
              <w:marRight w:val="0"/>
              <w:marTop w:val="0"/>
              <w:marBottom w:val="0"/>
              <w:divBdr>
                <w:top w:val="none" w:sz="0" w:space="0" w:color="auto"/>
                <w:left w:val="none" w:sz="0" w:space="0" w:color="auto"/>
                <w:bottom w:val="none" w:sz="0" w:space="0" w:color="auto"/>
                <w:right w:val="none" w:sz="0" w:space="0" w:color="auto"/>
              </w:divBdr>
            </w:div>
          </w:divsChild>
        </w:div>
        <w:div w:id="1017266423">
          <w:marLeft w:val="-120"/>
          <w:marRight w:val="-120"/>
          <w:marTop w:val="0"/>
          <w:marBottom w:val="0"/>
          <w:divBdr>
            <w:top w:val="none" w:sz="0" w:space="0" w:color="auto"/>
            <w:left w:val="none" w:sz="0" w:space="0" w:color="auto"/>
            <w:bottom w:val="none" w:sz="0" w:space="0" w:color="auto"/>
            <w:right w:val="none" w:sz="0" w:space="0" w:color="auto"/>
          </w:divBdr>
          <w:divsChild>
            <w:div w:id="179317875">
              <w:marLeft w:val="0"/>
              <w:marRight w:val="0"/>
              <w:marTop w:val="0"/>
              <w:marBottom w:val="0"/>
              <w:divBdr>
                <w:top w:val="none" w:sz="0" w:space="0" w:color="auto"/>
                <w:left w:val="none" w:sz="0" w:space="0" w:color="auto"/>
                <w:bottom w:val="none" w:sz="0" w:space="0" w:color="auto"/>
                <w:right w:val="none" w:sz="0" w:space="0" w:color="auto"/>
              </w:divBdr>
            </w:div>
          </w:divsChild>
        </w:div>
        <w:div w:id="1447700718">
          <w:marLeft w:val="-120"/>
          <w:marRight w:val="-120"/>
          <w:marTop w:val="0"/>
          <w:marBottom w:val="0"/>
          <w:divBdr>
            <w:top w:val="none" w:sz="0" w:space="0" w:color="auto"/>
            <w:left w:val="none" w:sz="0" w:space="0" w:color="auto"/>
            <w:bottom w:val="none" w:sz="0" w:space="0" w:color="auto"/>
            <w:right w:val="none" w:sz="0" w:space="0" w:color="auto"/>
          </w:divBdr>
          <w:divsChild>
            <w:div w:id="1822189567">
              <w:marLeft w:val="0"/>
              <w:marRight w:val="0"/>
              <w:marTop w:val="0"/>
              <w:marBottom w:val="0"/>
              <w:divBdr>
                <w:top w:val="none" w:sz="0" w:space="0" w:color="auto"/>
                <w:left w:val="none" w:sz="0" w:space="0" w:color="auto"/>
                <w:bottom w:val="none" w:sz="0" w:space="0" w:color="auto"/>
                <w:right w:val="none" w:sz="0" w:space="0" w:color="auto"/>
              </w:divBdr>
            </w:div>
          </w:divsChild>
        </w:div>
        <w:div w:id="347950687">
          <w:marLeft w:val="-120"/>
          <w:marRight w:val="-120"/>
          <w:marTop w:val="0"/>
          <w:marBottom w:val="0"/>
          <w:divBdr>
            <w:top w:val="none" w:sz="0" w:space="0" w:color="auto"/>
            <w:left w:val="none" w:sz="0" w:space="0" w:color="auto"/>
            <w:bottom w:val="none" w:sz="0" w:space="0" w:color="auto"/>
            <w:right w:val="none" w:sz="0" w:space="0" w:color="auto"/>
          </w:divBdr>
          <w:divsChild>
            <w:div w:id="1220097048">
              <w:marLeft w:val="0"/>
              <w:marRight w:val="0"/>
              <w:marTop w:val="0"/>
              <w:marBottom w:val="0"/>
              <w:divBdr>
                <w:top w:val="none" w:sz="0" w:space="0" w:color="auto"/>
                <w:left w:val="none" w:sz="0" w:space="0" w:color="auto"/>
                <w:bottom w:val="none" w:sz="0" w:space="0" w:color="auto"/>
                <w:right w:val="none" w:sz="0" w:space="0" w:color="auto"/>
              </w:divBdr>
            </w:div>
          </w:divsChild>
        </w:div>
        <w:div w:id="30111732">
          <w:marLeft w:val="-120"/>
          <w:marRight w:val="-120"/>
          <w:marTop w:val="0"/>
          <w:marBottom w:val="0"/>
          <w:divBdr>
            <w:top w:val="none" w:sz="0" w:space="0" w:color="auto"/>
            <w:left w:val="none" w:sz="0" w:space="0" w:color="auto"/>
            <w:bottom w:val="none" w:sz="0" w:space="0" w:color="auto"/>
            <w:right w:val="none" w:sz="0" w:space="0" w:color="auto"/>
          </w:divBdr>
          <w:divsChild>
            <w:div w:id="890383416">
              <w:marLeft w:val="0"/>
              <w:marRight w:val="0"/>
              <w:marTop w:val="0"/>
              <w:marBottom w:val="0"/>
              <w:divBdr>
                <w:top w:val="none" w:sz="0" w:space="0" w:color="auto"/>
                <w:left w:val="none" w:sz="0" w:space="0" w:color="auto"/>
                <w:bottom w:val="none" w:sz="0" w:space="0" w:color="auto"/>
                <w:right w:val="none" w:sz="0" w:space="0" w:color="auto"/>
              </w:divBdr>
            </w:div>
          </w:divsChild>
        </w:div>
        <w:div w:id="1123380607">
          <w:marLeft w:val="-120"/>
          <w:marRight w:val="-120"/>
          <w:marTop w:val="0"/>
          <w:marBottom w:val="0"/>
          <w:divBdr>
            <w:top w:val="none" w:sz="0" w:space="0" w:color="auto"/>
            <w:left w:val="none" w:sz="0" w:space="0" w:color="auto"/>
            <w:bottom w:val="none" w:sz="0" w:space="0" w:color="auto"/>
            <w:right w:val="none" w:sz="0" w:space="0" w:color="auto"/>
          </w:divBdr>
          <w:divsChild>
            <w:div w:id="2061125141">
              <w:marLeft w:val="0"/>
              <w:marRight w:val="0"/>
              <w:marTop w:val="0"/>
              <w:marBottom w:val="0"/>
              <w:divBdr>
                <w:top w:val="none" w:sz="0" w:space="0" w:color="auto"/>
                <w:left w:val="none" w:sz="0" w:space="0" w:color="auto"/>
                <w:bottom w:val="none" w:sz="0" w:space="0" w:color="auto"/>
                <w:right w:val="none" w:sz="0" w:space="0" w:color="auto"/>
              </w:divBdr>
            </w:div>
          </w:divsChild>
        </w:div>
        <w:div w:id="757216875">
          <w:marLeft w:val="-120"/>
          <w:marRight w:val="-120"/>
          <w:marTop w:val="0"/>
          <w:marBottom w:val="0"/>
          <w:divBdr>
            <w:top w:val="none" w:sz="0" w:space="0" w:color="auto"/>
            <w:left w:val="none" w:sz="0" w:space="0" w:color="auto"/>
            <w:bottom w:val="none" w:sz="0" w:space="0" w:color="auto"/>
            <w:right w:val="none" w:sz="0" w:space="0" w:color="auto"/>
          </w:divBdr>
          <w:divsChild>
            <w:div w:id="988284522">
              <w:marLeft w:val="0"/>
              <w:marRight w:val="0"/>
              <w:marTop w:val="0"/>
              <w:marBottom w:val="0"/>
              <w:divBdr>
                <w:top w:val="none" w:sz="0" w:space="0" w:color="auto"/>
                <w:left w:val="none" w:sz="0" w:space="0" w:color="auto"/>
                <w:bottom w:val="none" w:sz="0" w:space="0" w:color="auto"/>
                <w:right w:val="none" w:sz="0" w:space="0" w:color="auto"/>
              </w:divBdr>
            </w:div>
          </w:divsChild>
        </w:div>
        <w:div w:id="797994453">
          <w:marLeft w:val="0"/>
          <w:marRight w:val="0"/>
          <w:marTop w:val="0"/>
          <w:marBottom w:val="0"/>
          <w:divBdr>
            <w:top w:val="none" w:sz="0" w:space="0" w:color="auto"/>
            <w:left w:val="none" w:sz="0" w:space="0" w:color="auto"/>
            <w:bottom w:val="none" w:sz="0" w:space="0" w:color="auto"/>
            <w:right w:val="none" w:sz="0" w:space="0" w:color="auto"/>
          </w:divBdr>
        </w:div>
        <w:div w:id="501629979">
          <w:marLeft w:val="0"/>
          <w:marRight w:val="0"/>
          <w:marTop w:val="0"/>
          <w:marBottom w:val="0"/>
          <w:divBdr>
            <w:top w:val="none" w:sz="0" w:space="0" w:color="auto"/>
            <w:left w:val="none" w:sz="0" w:space="0" w:color="auto"/>
            <w:bottom w:val="none" w:sz="0" w:space="0" w:color="auto"/>
            <w:right w:val="none" w:sz="0" w:space="0" w:color="auto"/>
          </w:divBdr>
        </w:div>
        <w:div w:id="1574660068">
          <w:marLeft w:val="-120"/>
          <w:marRight w:val="-120"/>
          <w:marTop w:val="0"/>
          <w:marBottom w:val="0"/>
          <w:divBdr>
            <w:top w:val="none" w:sz="0" w:space="0" w:color="auto"/>
            <w:left w:val="none" w:sz="0" w:space="0" w:color="auto"/>
            <w:bottom w:val="none" w:sz="0" w:space="0" w:color="auto"/>
            <w:right w:val="none" w:sz="0" w:space="0" w:color="auto"/>
          </w:divBdr>
          <w:divsChild>
            <w:div w:id="1689017826">
              <w:marLeft w:val="0"/>
              <w:marRight w:val="0"/>
              <w:marTop w:val="0"/>
              <w:marBottom w:val="0"/>
              <w:divBdr>
                <w:top w:val="none" w:sz="0" w:space="0" w:color="auto"/>
                <w:left w:val="none" w:sz="0" w:space="0" w:color="auto"/>
                <w:bottom w:val="none" w:sz="0" w:space="0" w:color="auto"/>
                <w:right w:val="none" w:sz="0" w:space="0" w:color="auto"/>
              </w:divBdr>
            </w:div>
          </w:divsChild>
        </w:div>
        <w:div w:id="1212110674">
          <w:marLeft w:val="-120"/>
          <w:marRight w:val="-120"/>
          <w:marTop w:val="0"/>
          <w:marBottom w:val="0"/>
          <w:divBdr>
            <w:top w:val="none" w:sz="0" w:space="0" w:color="auto"/>
            <w:left w:val="none" w:sz="0" w:space="0" w:color="auto"/>
            <w:bottom w:val="none" w:sz="0" w:space="0" w:color="auto"/>
            <w:right w:val="none" w:sz="0" w:space="0" w:color="auto"/>
          </w:divBdr>
          <w:divsChild>
            <w:div w:id="1840192369">
              <w:marLeft w:val="0"/>
              <w:marRight w:val="0"/>
              <w:marTop w:val="0"/>
              <w:marBottom w:val="0"/>
              <w:divBdr>
                <w:top w:val="none" w:sz="0" w:space="0" w:color="auto"/>
                <w:left w:val="none" w:sz="0" w:space="0" w:color="auto"/>
                <w:bottom w:val="none" w:sz="0" w:space="0" w:color="auto"/>
                <w:right w:val="none" w:sz="0" w:space="0" w:color="auto"/>
              </w:divBdr>
            </w:div>
          </w:divsChild>
        </w:div>
        <w:div w:id="1928804322">
          <w:marLeft w:val="-120"/>
          <w:marRight w:val="-120"/>
          <w:marTop w:val="0"/>
          <w:marBottom w:val="0"/>
          <w:divBdr>
            <w:top w:val="none" w:sz="0" w:space="0" w:color="auto"/>
            <w:left w:val="none" w:sz="0" w:space="0" w:color="auto"/>
            <w:bottom w:val="none" w:sz="0" w:space="0" w:color="auto"/>
            <w:right w:val="none" w:sz="0" w:space="0" w:color="auto"/>
          </w:divBdr>
          <w:divsChild>
            <w:div w:id="2106610393">
              <w:marLeft w:val="0"/>
              <w:marRight w:val="0"/>
              <w:marTop w:val="0"/>
              <w:marBottom w:val="0"/>
              <w:divBdr>
                <w:top w:val="none" w:sz="0" w:space="0" w:color="auto"/>
                <w:left w:val="none" w:sz="0" w:space="0" w:color="auto"/>
                <w:bottom w:val="none" w:sz="0" w:space="0" w:color="auto"/>
                <w:right w:val="none" w:sz="0" w:space="0" w:color="auto"/>
              </w:divBdr>
            </w:div>
          </w:divsChild>
        </w:div>
        <w:div w:id="367877988">
          <w:marLeft w:val="-120"/>
          <w:marRight w:val="-120"/>
          <w:marTop w:val="0"/>
          <w:marBottom w:val="0"/>
          <w:divBdr>
            <w:top w:val="none" w:sz="0" w:space="0" w:color="auto"/>
            <w:left w:val="none" w:sz="0" w:space="0" w:color="auto"/>
            <w:bottom w:val="none" w:sz="0" w:space="0" w:color="auto"/>
            <w:right w:val="none" w:sz="0" w:space="0" w:color="auto"/>
          </w:divBdr>
          <w:divsChild>
            <w:div w:id="1544902753">
              <w:marLeft w:val="0"/>
              <w:marRight w:val="0"/>
              <w:marTop w:val="0"/>
              <w:marBottom w:val="0"/>
              <w:divBdr>
                <w:top w:val="none" w:sz="0" w:space="0" w:color="auto"/>
                <w:left w:val="none" w:sz="0" w:space="0" w:color="auto"/>
                <w:bottom w:val="none" w:sz="0" w:space="0" w:color="auto"/>
                <w:right w:val="none" w:sz="0" w:space="0" w:color="auto"/>
              </w:divBdr>
            </w:div>
          </w:divsChild>
        </w:div>
        <w:div w:id="1300306264">
          <w:marLeft w:val="-120"/>
          <w:marRight w:val="-120"/>
          <w:marTop w:val="0"/>
          <w:marBottom w:val="0"/>
          <w:divBdr>
            <w:top w:val="none" w:sz="0" w:space="0" w:color="auto"/>
            <w:left w:val="none" w:sz="0" w:space="0" w:color="auto"/>
            <w:bottom w:val="none" w:sz="0" w:space="0" w:color="auto"/>
            <w:right w:val="none" w:sz="0" w:space="0" w:color="auto"/>
          </w:divBdr>
          <w:divsChild>
            <w:div w:id="831019563">
              <w:marLeft w:val="0"/>
              <w:marRight w:val="0"/>
              <w:marTop w:val="0"/>
              <w:marBottom w:val="0"/>
              <w:divBdr>
                <w:top w:val="none" w:sz="0" w:space="0" w:color="auto"/>
                <w:left w:val="none" w:sz="0" w:space="0" w:color="auto"/>
                <w:bottom w:val="none" w:sz="0" w:space="0" w:color="auto"/>
                <w:right w:val="none" w:sz="0" w:space="0" w:color="auto"/>
              </w:divBdr>
            </w:div>
          </w:divsChild>
        </w:div>
        <w:div w:id="308630579">
          <w:marLeft w:val="-120"/>
          <w:marRight w:val="-120"/>
          <w:marTop w:val="0"/>
          <w:marBottom w:val="0"/>
          <w:divBdr>
            <w:top w:val="none" w:sz="0" w:space="0" w:color="auto"/>
            <w:left w:val="none" w:sz="0" w:space="0" w:color="auto"/>
            <w:bottom w:val="none" w:sz="0" w:space="0" w:color="auto"/>
            <w:right w:val="none" w:sz="0" w:space="0" w:color="auto"/>
          </w:divBdr>
          <w:divsChild>
            <w:div w:id="949161722">
              <w:marLeft w:val="0"/>
              <w:marRight w:val="0"/>
              <w:marTop w:val="0"/>
              <w:marBottom w:val="0"/>
              <w:divBdr>
                <w:top w:val="none" w:sz="0" w:space="0" w:color="auto"/>
                <w:left w:val="none" w:sz="0" w:space="0" w:color="auto"/>
                <w:bottom w:val="none" w:sz="0" w:space="0" w:color="auto"/>
                <w:right w:val="none" w:sz="0" w:space="0" w:color="auto"/>
              </w:divBdr>
            </w:div>
          </w:divsChild>
        </w:div>
        <w:div w:id="1787039324">
          <w:marLeft w:val="-120"/>
          <w:marRight w:val="-120"/>
          <w:marTop w:val="0"/>
          <w:marBottom w:val="0"/>
          <w:divBdr>
            <w:top w:val="none" w:sz="0" w:space="0" w:color="auto"/>
            <w:left w:val="none" w:sz="0" w:space="0" w:color="auto"/>
            <w:bottom w:val="none" w:sz="0" w:space="0" w:color="auto"/>
            <w:right w:val="none" w:sz="0" w:space="0" w:color="auto"/>
          </w:divBdr>
          <w:divsChild>
            <w:div w:id="1020930287">
              <w:marLeft w:val="0"/>
              <w:marRight w:val="0"/>
              <w:marTop w:val="0"/>
              <w:marBottom w:val="0"/>
              <w:divBdr>
                <w:top w:val="none" w:sz="0" w:space="0" w:color="auto"/>
                <w:left w:val="none" w:sz="0" w:space="0" w:color="auto"/>
                <w:bottom w:val="none" w:sz="0" w:space="0" w:color="auto"/>
                <w:right w:val="none" w:sz="0" w:space="0" w:color="auto"/>
              </w:divBdr>
            </w:div>
          </w:divsChild>
        </w:div>
        <w:div w:id="1378235698">
          <w:marLeft w:val="-120"/>
          <w:marRight w:val="-120"/>
          <w:marTop w:val="0"/>
          <w:marBottom w:val="0"/>
          <w:divBdr>
            <w:top w:val="none" w:sz="0" w:space="0" w:color="auto"/>
            <w:left w:val="none" w:sz="0" w:space="0" w:color="auto"/>
            <w:bottom w:val="none" w:sz="0" w:space="0" w:color="auto"/>
            <w:right w:val="none" w:sz="0" w:space="0" w:color="auto"/>
          </w:divBdr>
          <w:divsChild>
            <w:div w:id="2046296820">
              <w:marLeft w:val="0"/>
              <w:marRight w:val="0"/>
              <w:marTop w:val="0"/>
              <w:marBottom w:val="0"/>
              <w:divBdr>
                <w:top w:val="none" w:sz="0" w:space="0" w:color="auto"/>
                <w:left w:val="none" w:sz="0" w:space="0" w:color="auto"/>
                <w:bottom w:val="none" w:sz="0" w:space="0" w:color="auto"/>
                <w:right w:val="none" w:sz="0" w:space="0" w:color="auto"/>
              </w:divBdr>
            </w:div>
          </w:divsChild>
        </w:div>
        <w:div w:id="1823421820">
          <w:marLeft w:val="-120"/>
          <w:marRight w:val="-120"/>
          <w:marTop w:val="0"/>
          <w:marBottom w:val="0"/>
          <w:divBdr>
            <w:top w:val="none" w:sz="0" w:space="0" w:color="auto"/>
            <w:left w:val="none" w:sz="0" w:space="0" w:color="auto"/>
            <w:bottom w:val="none" w:sz="0" w:space="0" w:color="auto"/>
            <w:right w:val="none" w:sz="0" w:space="0" w:color="auto"/>
          </w:divBdr>
          <w:divsChild>
            <w:div w:id="1772503067">
              <w:marLeft w:val="0"/>
              <w:marRight w:val="0"/>
              <w:marTop w:val="0"/>
              <w:marBottom w:val="0"/>
              <w:divBdr>
                <w:top w:val="none" w:sz="0" w:space="0" w:color="auto"/>
                <w:left w:val="none" w:sz="0" w:space="0" w:color="auto"/>
                <w:bottom w:val="none" w:sz="0" w:space="0" w:color="auto"/>
                <w:right w:val="none" w:sz="0" w:space="0" w:color="auto"/>
              </w:divBdr>
            </w:div>
          </w:divsChild>
        </w:div>
        <w:div w:id="1653213838">
          <w:marLeft w:val="0"/>
          <w:marRight w:val="0"/>
          <w:marTop w:val="0"/>
          <w:marBottom w:val="0"/>
          <w:divBdr>
            <w:top w:val="none" w:sz="0" w:space="0" w:color="auto"/>
            <w:left w:val="none" w:sz="0" w:space="0" w:color="auto"/>
            <w:bottom w:val="none" w:sz="0" w:space="0" w:color="auto"/>
            <w:right w:val="none" w:sz="0" w:space="0" w:color="auto"/>
          </w:divBdr>
        </w:div>
        <w:div w:id="1823698307">
          <w:marLeft w:val="0"/>
          <w:marRight w:val="0"/>
          <w:marTop w:val="0"/>
          <w:marBottom w:val="0"/>
          <w:divBdr>
            <w:top w:val="none" w:sz="0" w:space="0" w:color="auto"/>
            <w:left w:val="none" w:sz="0" w:space="0" w:color="auto"/>
            <w:bottom w:val="none" w:sz="0" w:space="0" w:color="auto"/>
            <w:right w:val="none" w:sz="0" w:space="0" w:color="auto"/>
          </w:divBdr>
        </w:div>
        <w:div w:id="1063288570">
          <w:marLeft w:val="-120"/>
          <w:marRight w:val="-120"/>
          <w:marTop w:val="0"/>
          <w:marBottom w:val="0"/>
          <w:divBdr>
            <w:top w:val="none" w:sz="0" w:space="0" w:color="auto"/>
            <w:left w:val="none" w:sz="0" w:space="0" w:color="auto"/>
            <w:bottom w:val="none" w:sz="0" w:space="0" w:color="auto"/>
            <w:right w:val="none" w:sz="0" w:space="0" w:color="auto"/>
          </w:divBdr>
          <w:divsChild>
            <w:div w:id="1422795043">
              <w:marLeft w:val="0"/>
              <w:marRight w:val="0"/>
              <w:marTop w:val="0"/>
              <w:marBottom w:val="0"/>
              <w:divBdr>
                <w:top w:val="none" w:sz="0" w:space="0" w:color="auto"/>
                <w:left w:val="none" w:sz="0" w:space="0" w:color="auto"/>
                <w:bottom w:val="none" w:sz="0" w:space="0" w:color="auto"/>
                <w:right w:val="none" w:sz="0" w:space="0" w:color="auto"/>
              </w:divBdr>
            </w:div>
          </w:divsChild>
        </w:div>
        <w:div w:id="1889761329">
          <w:marLeft w:val="0"/>
          <w:marRight w:val="0"/>
          <w:marTop w:val="0"/>
          <w:marBottom w:val="0"/>
          <w:divBdr>
            <w:top w:val="none" w:sz="0" w:space="0" w:color="auto"/>
            <w:left w:val="none" w:sz="0" w:space="0" w:color="auto"/>
            <w:bottom w:val="none" w:sz="0" w:space="0" w:color="auto"/>
            <w:right w:val="none" w:sz="0" w:space="0" w:color="auto"/>
          </w:divBdr>
        </w:div>
        <w:div w:id="697783147">
          <w:marLeft w:val="0"/>
          <w:marRight w:val="0"/>
          <w:marTop w:val="0"/>
          <w:marBottom w:val="0"/>
          <w:divBdr>
            <w:top w:val="none" w:sz="0" w:space="0" w:color="auto"/>
            <w:left w:val="none" w:sz="0" w:space="0" w:color="auto"/>
            <w:bottom w:val="none" w:sz="0" w:space="0" w:color="auto"/>
            <w:right w:val="none" w:sz="0" w:space="0" w:color="auto"/>
          </w:divBdr>
        </w:div>
        <w:div w:id="177475003">
          <w:marLeft w:val="-120"/>
          <w:marRight w:val="-120"/>
          <w:marTop w:val="0"/>
          <w:marBottom w:val="0"/>
          <w:divBdr>
            <w:top w:val="none" w:sz="0" w:space="0" w:color="auto"/>
            <w:left w:val="none" w:sz="0" w:space="0" w:color="auto"/>
            <w:bottom w:val="none" w:sz="0" w:space="0" w:color="auto"/>
            <w:right w:val="none" w:sz="0" w:space="0" w:color="auto"/>
          </w:divBdr>
          <w:divsChild>
            <w:div w:id="1246301212">
              <w:marLeft w:val="0"/>
              <w:marRight w:val="0"/>
              <w:marTop w:val="0"/>
              <w:marBottom w:val="0"/>
              <w:divBdr>
                <w:top w:val="none" w:sz="0" w:space="0" w:color="auto"/>
                <w:left w:val="none" w:sz="0" w:space="0" w:color="auto"/>
                <w:bottom w:val="none" w:sz="0" w:space="0" w:color="auto"/>
                <w:right w:val="none" w:sz="0" w:space="0" w:color="auto"/>
              </w:divBdr>
            </w:div>
          </w:divsChild>
        </w:div>
        <w:div w:id="1344283665">
          <w:marLeft w:val="-120"/>
          <w:marRight w:val="-120"/>
          <w:marTop w:val="0"/>
          <w:marBottom w:val="0"/>
          <w:divBdr>
            <w:top w:val="none" w:sz="0" w:space="0" w:color="auto"/>
            <w:left w:val="none" w:sz="0" w:space="0" w:color="auto"/>
            <w:bottom w:val="none" w:sz="0" w:space="0" w:color="auto"/>
            <w:right w:val="none" w:sz="0" w:space="0" w:color="auto"/>
          </w:divBdr>
          <w:divsChild>
            <w:div w:id="1413315041">
              <w:marLeft w:val="0"/>
              <w:marRight w:val="0"/>
              <w:marTop w:val="0"/>
              <w:marBottom w:val="0"/>
              <w:divBdr>
                <w:top w:val="none" w:sz="0" w:space="0" w:color="auto"/>
                <w:left w:val="none" w:sz="0" w:space="0" w:color="auto"/>
                <w:bottom w:val="none" w:sz="0" w:space="0" w:color="auto"/>
                <w:right w:val="none" w:sz="0" w:space="0" w:color="auto"/>
              </w:divBdr>
            </w:div>
          </w:divsChild>
        </w:div>
        <w:div w:id="1104112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a.europa.eu/sites/default/documents/files/documents/10180/104828/938f9f0d-ec75-4874-9835-870e7cfda648/EBA-BS-2012-79--GL-on-IRC-.pdf?retry=1" TargetMode="External"/><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risk.net/risk-management/market-risk/2375185/hull-and-white-on-the-pros-and-cons-of-expected-shortfall"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youtube.com/watch?v=lWWW3xlBHpY"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en.wikipedia.org/wiki/Extreme_value_theory" TargetMode="External"/><Relationship Id="rId11" Type="http://schemas.openxmlformats.org/officeDocument/2006/relationships/image" Target="media/image3.gif"/><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yperlink" Target="http://financialexamhelp123.com/macaulay-duration-modified-duration-and-effective-duration/"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75</Pages>
  <Words>21838</Words>
  <Characters>131029</Characters>
  <Application>Microsoft Office Word</Application>
  <DocSecurity>0</DocSecurity>
  <Lines>1091</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Sliz</dc:creator>
  <cp:keywords/>
  <dc:description/>
  <cp:lastModifiedBy>Maciej Sliz</cp:lastModifiedBy>
  <cp:revision>100</cp:revision>
  <dcterms:created xsi:type="dcterms:W3CDTF">2023-02-16T11:41:00Z</dcterms:created>
  <dcterms:modified xsi:type="dcterms:W3CDTF">2023-02-19T23:09:00Z</dcterms:modified>
</cp:coreProperties>
</file>