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C714F" w14:textId="1183A2B8" w:rsidR="007A6BBB" w:rsidRPr="007A6BBB" w:rsidRDefault="00566F96" w:rsidP="007A6BBB">
      <w:pPr>
        <w:pStyle w:val="Tytu"/>
        <w:jc w:val="center"/>
      </w:pPr>
      <w:r w:rsidRPr="00566F96">
        <w:t>Raport z analizy danych: Predykcja sekcji głosowej w chórze na podstawie atrybutów fizjologicznych i behawioralnych</w:t>
      </w:r>
    </w:p>
    <w:p w14:paraId="075DF2A0" w14:textId="2C19BACD" w:rsidR="007A6BBB" w:rsidRPr="007A6BBB" w:rsidRDefault="007A6BBB" w:rsidP="007A6BBB">
      <w:pPr>
        <w:pStyle w:val="Podtytu"/>
        <w:spacing w:before="240"/>
        <w:jc w:val="center"/>
      </w:pPr>
      <w:r>
        <w:t>Maciej Szukało 155327</w:t>
      </w:r>
    </w:p>
    <w:p w14:paraId="15E7E2D6" w14:textId="02BF9A96" w:rsidR="00566F96" w:rsidRDefault="00566F96" w:rsidP="00566F96">
      <w:pPr>
        <w:pStyle w:val="Nagwek1"/>
        <w:numPr>
          <w:ilvl w:val="0"/>
          <w:numId w:val="1"/>
        </w:numPr>
      </w:pPr>
      <w:r w:rsidRPr="00566F96">
        <w:t>Wstęp i motywacja wyboru</w:t>
      </w:r>
    </w:p>
    <w:p w14:paraId="68C836D5" w14:textId="77777777" w:rsidR="00566F96" w:rsidRDefault="00566F96" w:rsidP="00566F96">
      <w:pPr>
        <w:pStyle w:val="NormalnyWeb"/>
        <w:ind w:left="708" w:firstLine="360"/>
      </w:pPr>
      <w:r>
        <w:t>Tradycyjny przydział do sekcji głosowych w chórze opiera się wyłącznie na weryfikacji skali i barwy głosu za pomocą testów słuchowych. W środowisku chóralnym krążą jednak liczne hipotezy sugerujące, że przynależność do danej sekcji jest silnie powiązana z określonymi cechami fizjologicznymi (np. budową ciała) oraz behawioralnymi (np. reakcją na stres, ekstrawersją). Cel niniejszego projektu stanowi weryfikacja tych założeń za pomocą narzędzi uczenia maszynowego.</w:t>
      </w:r>
    </w:p>
    <w:p w14:paraId="63EC7BCB" w14:textId="36C98C03" w:rsidR="00566F96" w:rsidRDefault="00566F96" w:rsidP="00566F96">
      <w:pPr>
        <w:pStyle w:val="NormalnyWeb"/>
        <w:ind w:left="708" w:firstLine="360"/>
      </w:pPr>
      <w:r>
        <w:t>Motywacją do wyboru tematu była chęć pracy na oryginalnym, autorskim zbiorze danych</w:t>
      </w:r>
      <w:r>
        <w:t xml:space="preserve"> oraz bycie uczestnikiem jednego z Poznańskich chórów stwierdziłem że będzie to interesujące</w:t>
      </w:r>
      <w:r>
        <w:t>. Wymagało to zmierzenia się z realnymi problemami inżynierii danych, takimi jak braki w wartościach, subiektywność odpowiedzi ankietowanych oraz silne niezbalansowanie klas.</w:t>
      </w:r>
    </w:p>
    <w:p w14:paraId="6A6FBF5A" w14:textId="54D0DF82" w:rsidR="00566F96" w:rsidRDefault="00566F96" w:rsidP="00566F96">
      <w:pPr>
        <w:pStyle w:val="Nagwek1"/>
        <w:numPr>
          <w:ilvl w:val="0"/>
          <w:numId w:val="1"/>
        </w:numPr>
      </w:pPr>
      <w:r w:rsidRPr="00566F96">
        <w:t>Charakterystyka zbioru danych i analiza przypadków</w:t>
      </w:r>
    </w:p>
    <w:p w14:paraId="166BE2C3" w14:textId="77777777" w:rsidR="00566F96" w:rsidRPr="00566F96" w:rsidRDefault="00566F96" w:rsidP="00566F96">
      <w:pPr>
        <w:ind w:left="360"/>
      </w:pPr>
    </w:p>
    <w:p w14:paraId="7D09BD66" w14:textId="0256B63A" w:rsidR="00566F96" w:rsidRPr="00566F96" w:rsidRDefault="00566F96" w:rsidP="00566F96">
      <w:pPr>
        <w:ind w:left="720" w:firstLine="360"/>
      </w:pPr>
      <w:r w:rsidRPr="00566F96">
        <w:t xml:space="preserve">Zbiór danych został pozyskany drogą ankietową wśród członków </w:t>
      </w:r>
      <w:r>
        <w:t xml:space="preserve">Polskich </w:t>
      </w:r>
      <w:r w:rsidRPr="00566F96">
        <w:t>chór</w:t>
      </w:r>
      <w:r>
        <w:t>ów z całej Polski (od Wrocławia po Szczecin i Międzyzdroje)</w:t>
      </w:r>
      <w:r w:rsidRPr="00566F96">
        <w:t xml:space="preserve">. Po etapie czyszczenia danych zbiór składa się z </w:t>
      </w:r>
      <w:r w:rsidRPr="00566F96">
        <w:rPr>
          <w:b/>
          <w:bCs/>
        </w:rPr>
        <w:t>93 przypadków</w:t>
      </w:r>
      <w:r w:rsidRPr="00566F96">
        <w:t>.</w:t>
      </w:r>
    </w:p>
    <w:p w14:paraId="79B3E73D" w14:textId="77777777" w:rsidR="00566F96" w:rsidRPr="00566F96" w:rsidRDefault="00566F96" w:rsidP="00566F96">
      <w:pPr>
        <w:ind w:left="708" w:firstLine="708"/>
      </w:pPr>
      <w:r w:rsidRPr="00566F96">
        <w:t xml:space="preserve">Każdy przypadek opisany jest za pomocą </w:t>
      </w:r>
      <w:r w:rsidRPr="00566F96">
        <w:rPr>
          <w:b/>
          <w:bCs/>
        </w:rPr>
        <w:t>10 atrybutów warunkowych</w:t>
      </w:r>
      <w:r w:rsidRPr="00566F96">
        <w:t xml:space="preserve"> (zarówno liczbowych, np. wzrost w cm, jak i kategorycznych, np. reakcja na pomyłkę, zachowanie podczas przerw). Atrybutem decyzyjnym jest przynależność do grupy głosowej. Początkowo badano problem jako klasyfikację 4-klasową (Sopran, Alt, Tenor, Bas), jednak ze względu na rozkład płci (głosy żeńskie stanowią 69% zbioru), analizę rozszerzono również o wariant 2-klasowy (Głosy wysokie vs. Głosy niskie).</w:t>
      </w:r>
    </w:p>
    <w:p w14:paraId="05BB12AA" w14:textId="77777777" w:rsidR="00566F96" w:rsidRPr="00566F96" w:rsidRDefault="00566F96" w:rsidP="00566F96">
      <w:pPr>
        <w:ind w:left="708" w:firstLine="360"/>
      </w:pPr>
      <w:r w:rsidRPr="00566F96">
        <w:rPr>
          <w:b/>
          <w:bCs/>
        </w:rPr>
        <w:t>Analiza wybranych przypadków:</w:t>
      </w:r>
      <w:r w:rsidRPr="00566F96">
        <w:t xml:space="preserve"> Aby lepiej zilustrować specyfikę zbioru, przeanalizowano dwa skrajne przypadki z macierzy danych:</w:t>
      </w:r>
    </w:p>
    <w:p w14:paraId="74C7AED7" w14:textId="77777777" w:rsidR="00566F96" w:rsidRPr="00566F96" w:rsidRDefault="00566F96" w:rsidP="00566F96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566F96">
        <w:rPr>
          <w:b/>
          <w:bCs/>
        </w:rPr>
        <w:lastRenderedPageBreak/>
        <w:t>Przypadek nr 12:</w:t>
      </w:r>
      <w:r w:rsidRPr="00566F96">
        <w:t xml:space="preserve"> Reprezentuje osobę o atrybucie liczbowym </w:t>
      </w:r>
      <w:r w:rsidRPr="00566F96">
        <w:rPr>
          <w:i/>
          <w:iCs/>
        </w:rPr>
        <w:t>Wzrost</w:t>
      </w:r>
      <w:r w:rsidRPr="00566F96">
        <w:t xml:space="preserve"> równym 188 cm. Przypadek ten charakteryzuje się niską samooceną proporcji szyi (wartość 3 w skali 1-10) oraz dużą łatwością wtapiania się w brzmienie reszty chóru (atrybut </w:t>
      </w:r>
      <w:r w:rsidRPr="00566F96">
        <w:rPr>
          <w:i/>
          <w:iCs/>
        </w:rPr>
        <w:t>Tutti</w:t>
      </w:r>
      <w:r w:rsidRPr="00566F96">
        <w:t xml:space="preserve">). Atrybut decyzyjny dla tego przypadku to </w:t>
      </w:r>
      <w:r w:rsidRPr="00566F96">
        <w:rPr>
          <w:i/>
          <w:iCs/>
        </w:rPr>
        <w:t>Bas</w:t>
      </w:r>
      <w:r w:rsidRPr="00566F96">
        <w:t>.</w:t>
      </w:r>
    </w:p>
    <w:p w14:paraId="32F4A761" w14:textId="49D5BFAF" w:rsidR="00566F96" w:rsidRDefault="00566F96" w:rsidP="00566F96">
      <w:pPr>
        <w:numPr>
          <w:ilvl w:val="0"/>
          <w:numId w:val="2"/>
        </w:numPr>
        <w:tabs>
          <w:tab w:val="clear" w:pos="720"/>
          <w:tab w:val="num" w:pos="1428"/>
        </w:tabs>
        <w:ind w:left="1428"/>
      </w:pPr>
      <w:r w:rsidRPr="00566F96">
        <w:rPr>
          <w:b/>
          <w:bCs/>
        </w:rPr>
        <w:t>Przypadek nr 45:</w:t>
      </w:r>
      <w:r w:rsidRPr="00566F96">
        <w:t xml:space="preserve"> To osoba o wzroście 162 cm, deklarująca najwyższy stopień zmiennej </w:t>
      </w:r>
      <w:r w:rsidRPr="00566F96">
        <w:rPr>
          <w:i/>
          <w:iCs/>
        </w:rPr>
        <w:t>Gadatliwość</w:t>
      </w:r>
      <w:r w:rsidRPr="00566F96">
        <w:t xml:space="preserve"> (wartość 10) oraz wskazująca na uśmiech jako główną strategię maskowania błędów na scenie (atrybut </w:t>
      </w:r>
      <w:r w:rsidRPr="00566F96">
        <w:rPr>
          <w:i/>
          <w:iCs/>
        </w:rPr>
        <w:t>Pomyłka</w:t>
      </w:r>
      <w:r w:rsidRPr="00566F96">
        <w:t xml:space="preserve">). Zestaw tych atrybutów odpowiada atrybutowi decyzyjnemu </w:t>
      </w:r>
      <w:r w:rsidRPr="00566F96">
        <w:rPr>
          <w:i/>
          <w:iCs/>
        </w:rPr>
        <w:t>Sopran</w:t>
      </w:r>
      <w:r w:rsidRPr="00566F96">
        <w:t>.</w:t>
      </w:r>
    </w:p>
    <w:p w14:paraId="6F11613A" w14:textId="62199B73" w:rsidR="00566F96" w:rsidRDefault="00566F96" w:rsidP="00566F96">
      <w:pPr>
        <w:pStyle w:val="Nagwek1"/>
        <w:numPr>
          <w:ilvl w:val="0"/>
          <w:numId w:val="1"/>
        </w:numPr>
      </w:pPr>
      <w:r w:rsidRPr="00566F96">
        <w:t>Metodologia i ocena modeli</w:t>
      </w:r>
    </w:p>
    <w:p w14:paraId="2B26F29F" w14:textId="77777777" w:rsidR="00566F96" w:rsidRPr="00566F96" w:rsidRDefault="00566F96" w:rsidP="00566F96"/>
    <w:p w14:paraId="4277CB7E" w14:textId="77777777" w:rsidR="00566F96" w:rsidRPr="00566F96" w:rsidRDefault="00566F96" w:rsidP="00566F96">
      <w:pPr>
        <w:ind w:left="708" w:firstLine="360"/>
      </w:pPr>
      <w:r w:rsidRPr="00566F96">
        <w:t>Ze względu na specyfikę zbioru (</w:t>
      </w:r>
      <w:proofErr w:type="spellStart"/>
      <w:r w:rsidRPr="00566F96">
        <w:t>wieloklasowość</w:t>
      </w:r>
      <w:proofErr w:type="spellEnd"/>
      <w:r w:rsidRPr="00566F96">
        <w:t xml:space="preserve"> oraz asymetria liczebności), zastosowano klasyfikację z użyciem trzech odmiennych algorytmów uczenia maszynowego:</w:t>
      </w:r>
    </w:p>
    <w:p w14:paraId="08C66EA1" w14:textId="77777777" w:rsidR="00566F96" w:rsidRPr="00566F96" w:rsidRDefault="00566F96" w:rsidP="00566F96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566F96">
        <w:rPr>
          <w:b/>
          <w:bCs/>
        </w:rPr>
        <w:t>Las Losowy (</w:t>
      </w:r>
      <w:proofErr w:type="spellStart"/>
      <w:r w:rsidRPr="00566F96">
        <w:rPr>
          <w:b/>
          <w:bCs/>
        </w:rPr>
        <w:t>Random</w:t>
      </w:r>
      <w:proofErr w:type="spellEnd"/>
      <w:r w:rsidRPr="00566F96">
        <w:rPr>
          <w:b/>
          <w:bCs/>
        </w:rPr>
        <w:t xml:space="preserve"> </w:t>
      </w:r>
      <w:proofErr w:type="spellStart"/>
      <w:r w:rsidRPr="00566F96">
        <w:rPr>
          <w:b/>
          <w:bCs/>
        </w:rPr>
        <w:t>Forest</w:t>
      </w:r>
      <w:proofErr w:type="spellEnd"/>
      <w:r w:rsidRPr="00566F96">
        <w:rPr>
          <w:b/>
          <w:bCs/>
        </w:rPr>
        <w:t>)</w:t>
      </w:r>
      <w:r w:rsidRPr="00566F96">
        <w:t xml:space="preserve"> – jako główny model zespołowy, odporny na szum.</w:t>
      </w:r>
    </w:p>
    <w:p w14:paraId="3F8EBF66" w14:textId="77777777" w:rsidR="00566F96" w:rsidRPr="00566F96" w:rsidRDefault="00566F96" w:rsidP="00566F96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566F96">
        <w:rPr>
          <w:b/>
          <w:bCs/>
        </w:rPr>
        <w:t>Maszyna Wektorów Nośnych (SVM)</w:t>
      </w:r>
      <w:r w:rsidRPr="00566F96">
        <w:t xml:space="preserve"> – z jądrem liniowym.</w:t>
      </w:r>
    </w:p>
    <w:p w14:paraId="62518CA3" w14:textId="77777777" w:rsidR="00566F96" w:rsidRPr="00566F96" w:rsidRDefault="00566F96" w:rsidP="00566F96">
      <w:pPr>
        <w:numPr>
          <w:ilvl w:val="0"/>
          <w:numId w:val="3"/>
        </w:numPr>
        <w:tabs>
          <w:tab w:val="clear" w:pos="720"/>
          <w:tab w:val="num" w:pos="1428"/>
        </w:tabs>
        <w:ind w:left="1428"/>
      </w:pPr>
      <w:r w:rsidRPr="00566F96">
        <w:rPr>
          <w:b/>
          <w:bCs/>
        </w:rPr>
        <w:t>Drzewo Decyzyjne (</w:t>
      </w:r>
      <w:proofErr w:type="spellStart"/>
      <w:r w:rsidRPr="00566F96">
        <w:rPr>
          <w:b/>
          <w:bCs/>
        </w:rPr>
        <w:t>Decision</w:t>
      </w:r>
      <w:proofErr w:type="spellEnd"/>
      <w:r w:rsidRPr="00566F96">
        <w:rPr>
          <w:b/>
          <w:bCs/>
        </w:rPr>
        <w:t xml:space="preserve"> </w:t>
      </w:r>
      <w:proofErr w:type="spellStart"/>
      <w:r w:rsidRPr="00566F96">
        <w:rPr>
          <w:b/>
          <w:bCs/>
        </w:rPr>
        <w:t>Tree</w:t>
      </w:r>
      <w:proofErr w:type="spellEnd"/>
      <w:r w:rsidRPr="00566F96">
        <w:rPr>
          <w:b/>
          <w:bCs/>
        </w:rPr>
        <w:t>)</w:t>
      </w:r>
      <w:r w:rsidRPr="00566F96">
        <w:t xml:space="preserve"> – spełniające rolę modelu interpretowalnego (tzw. białej skrzynki).</w:t>
      </w:r>
    </w:p>
    <w:p w14:paraId="6D8D2839" w14:textId="358E5886" w:rsidR="00566F96" w:rsidRPr="00566F96" w:rsidRDefault="00566F96" w:rsidP="00566F96">
      <w:pPr>
        <w:ind w:left="708" w:firstLine="360"/>
      </w:pPr>
      <w:r w:rsidRPr="00566F96">
        <w:t>We wszystkich modelach zaimplementowano mechanizm ważenia klas (</w:t>
      </w:r>
      <w:proofErr w:type="spellStart"/>
      <w:r w:rsidRPr="00566F96">
        <w:rPr>
          <w:i/>
          <w:iCs/>
        </w:rPr>
        <w:t>class</w:t>
      </w:r>
      <w:proofErr w:type="spellEnd"/>
      <w:r w:rsidRPr="00566F96">
        <w:rPr>
          <w:i/>
          <w:iCs/>
        </w:rPr>
        <w:t xml:space="preserve"> </w:t>
      </w:r>
      <w:proofErr w:type="spellStart"/>
      <w:r w:rsidRPr="00566F96">
        <w:rPr>
          <w:i/>
          <w:iCs/>
        </w:rPr>
        <w:t>weights</w:t>
      </w:r>
      <w:proofErr w:type="spellEnd"/>
      <w:r w:rsidRPr="00566F96">
        <w:t xml:space="preserve">), aby zapobiec faworyzowaniu dominujących głosów żeńskich. Do ewaluacji modeli wykorzystano </w:t>
      </w:r>
      <w:r w:rsidRPr="00566F96">
        <w:rPr>
          <w:b/>
          <w:bCs/>
        </w:rPr>
        <w:t>5-krotną walidację krzyżową</w:t>
      </w:r>
      <w:r w:rsidRPr="00566F96">
        <w:t xml:space="preserve">. Za główną metrykę oceny przyjęto miarę </w:t>
      </w:r>
      <w:r w:rsidRPr="00566F96">
        <w:rPr>
          <w:b/>
          <w:bCs/>
        </w:rPr>
        <w:t>F1-Macro</w:t>
      </w:r>
      <w:r w:rsidRPr="00566F96">
        <w:t xml:space="preserve">, ponieważ klasyczna trafność </w:t>
      </w:r>
      <w:r>
        <w:t>(</w:t>
      </w:r>
      <w:proofErr w:type="spellStart"/>
      <w:r>
        <w:t>Accuracy</w:t>
      </w:r>
      <w:proofErr w:type="spellEnd"/>
      <w:r w:rsidRPr="00566F96">
        <w:t xml:space="preserve">) byłaby w tym przypadku niemiarodajna ze względu na </w:t>
      </w:r>
      <w:r>
        <w:t>niezbalansowanie</w:t>
      </w:r>
      <w:r w:rsidRPr="00566F96">
        <w:t xml:space="preserve"> zbioru.</w:t>
      </w:r>
    </w:p>
    <w:p w14:paraId="3211CE14" w14:textId="67B7FE66" w:rsidR="00566F96" w:rsidRDefault="00566F96" w:rsidP="00566F96">
      <w:pPr>
        <w:pStyle w:val="Nagwek1"/>
        <w:numPr>
          <w:ilvl w:val="0"/>
          <w:numId w:val="3"/>
        </w:numPr>
      </w:pPr>
      <w:r w:rsidRPr="00566F96">
        <w:t>Wyniki eksperymentów i ewaluacja</w:t>
      </w:r>
    </w:p>
    <w:p w14:paraId="26B4FDFA" w14:textId="77777777" w:rsidR="00566F96" w:rsidRDefault="00566F96" w:rsidP="00566F96">
      <w:pPr>
        <w:ind w:firstLine="360"/>
      </w:pPr>
      <w:r w:rsidRPr="00566F96">
        <w:t>Najwyższą skuteczność predykcyjną spośród badanych algorytmów osiągnął Las Losowy. Ze względu na zjawisko silnego podobieństwa fizjologicznego między głosami żeńskimi (Sopran i Alt)</w:t>
      </w:r>
      <w:r>
        <w:t xml:space="preserve"> i męskimi (Tenor i Bas), model mocno wyuczył się rozróżniać głównie te dwie podgrupy.</w:t>
      </w:r>
    </w:p>
    <w:p w14:paraId="38FD47E8" w14:textId="1B6C731F" w:rsidR="00566F96" w:rsidRDefault="00D8003E" w:rsidP="00566F96">
      <w:pPr>
        <w:ind w:firstLine="360"/>
      </w:pPr>
      <w:r w:rsidRPr="00D8003E">
        <w:lastRenderedPageBreak/>
        <w:drawing>
          <wp:anchor distT="0" distB="0" distL="114300" distR="114300" simplePos="0" relativeHeight="251660288" behindDoc="1" locked="0" layoutInCell="1" allowOverlap="1" wp14:anchorId="2A8926B5" wp14:editId="42D8BE21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4958080"/>
            <wp:effectExtent l="0" t="0" r="0" b="0"/>
            <wp:wrapTight wrapText="bothSides">
              <wp:wrapPolygon edited="0">
                <wp:start x="0" y="0"/>
                <wp:lineTo x="0" y="21495"/>
                <wp:lineTo x="21500" y="21495"/>
                <wp:lineTo x="21500" y="0"/>
                <wp:lineTo x="0" y="0"/>
              </wp:wrapPolygon>
            </wp:wrapTight>
            <wp:docPr id="4822091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0912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34CC0" w14:textId="36947AB0" w:rsidR="00566F96" w:rsidRDefault="00D8003E" w:rsidP="00566F96">
      <w:pPr>
        <w:ind w:firstLine="360"/>
      </w:pPr>
      <w:r>
        <w:t>M</w:t>
      </w:r>
      <w:r w:rsidR="00566F96" w:rsidRPr="00566F96">
        <w:t xml:space="preserve">odel dla 4 klas napotykał trudności z wyznaczeniem płynnej granicy decyzyjnej między </w:t>
      </w:r>
      <w:r>
        <w:t>męskimi i żeńskimi głosami, dlatego</w:t>
      </w:r>
      <w:r w:rsidR="00566F96" w:rsidRPr="00566F96">
        <w:t xml:space="preserve"> </w:t>
      </w:r>
      <w:r>
        <w:t>z</w:t>
      </w:r>
      <w:r w:rsidR="00566F96" w:rsidRPr="00566F96">
        <w:t>decydowano się na eksperymentalną zmianę atrybutu decyzyjnego na 2 klasy: Głosy wysokie (Sopran, Tenor) oraz Głosy niskie (Alt, Bas).</w:t>
      </w:r>
    </w:p>
    <w:p w14:paraId="4A077D25" w14:textId="35C75B3C" w:rsidR="00D8003E" w:rsidRPr="00566F96" w:rsidRDefault="00D8003E" w:rsidP="00566F96">
      <w:pPr>
        <w:ind w:firstLine="360"/>
      </w:pPr>
      <w:r w:rsidRPr="00D8003E">
        <w:lastRenderedPageBreak/>
        <w:drawing>
          <wp:anchor distT="0" distB="0" distL="114300" distR="114300" simplePos="0" relativeHeight="251659264" behindDoc="1" locked="0" layoutInCell="1" allowOverlap="1" wp14:anchorId="3C03EF67" wp14:editId="43442BB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29250" cy="4505325"/>
            <wp:effectExtent l="0" t="0" r="0" b="9525"/>
            <wp:wrapTight wrapText="bothSides">
              <wp:wrapPolygon edited="0">
                <wp:start x="0" y="0"/>
                <wp:lineTo x="0" y="21554"/>
                <wp:lineTo x="21524" y="21554"/>
                <wp:lineTo x="21524" y="0"/>
                <wp:lineTo x="0" y="0"/>
              </wp:wrapPolygon>
            </wp:wrapTight>
            <wp:docPr id="628491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916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68CAC3" w14:textId="2A3F4657" w:rsidR="00566F96" w:rsidRPr="00566F96" w:rsidRDefault="00566F96" w:rsidP="00566F96">
      <w:r w:rsidRPr="00566F96">
        <w:t xml:space="preserve">Dla wariantu 2-klasowego model osiągnął ogólną trafność na poziomie </w:t>
      </w:r>
      <w:r w:rsidRPr="00566F96">
        <w:rPr>
          <w:b/>
          <w:bCs/>
        </w:rPr>
        <w:t>0.68 (68%)</w:t>
      </w:r>
      <w:r w:rsidRPr="00566F96">
        <w:t xml:space="preserve">, co stanowi wynik znacznie przewyższający </w:t>
      </w:r>
      <w:r w:rsidR="00D8003E">
        <w:t>totalną</w:t>
      </w:r>
      <w:r w:rsidRPr="00566F96">
        <w:t xml:space="preserve"> losow</w:t>
      </w:r>
      <w:r w:rsidR="00D8003E">
        <w:t>ość</w:t>
      </w:r>
      <w:r w:rsidRPr="00566F96">
        <w:t xml:space="preserve"> (50%). Szczegółowa analiza miar </w:t>
      </w:r>
      <w:r w:rsidRPr="00566F96">
        <w:rPr>
          <w:i/>
          <w:iCs/>
        </w:rPr>
        <w:t>Precision</w:t>
      </w:r>
      <w:r w:rsidRPr="00566F96">
        <w:t xml:space="preserve"> i </w:t>
      </w:r>
      <w:proofErr w:type="spellStart"/>
      <w:r w:rsidRPr="00566F96">
        <w:rPr>
          <w:i/>
          <w:iCs/>
        </w:rPr>
        <w:t>Recall</w:t>
      </w:r>
      <w:proofErr w:type="spellEnd"/>
      <w:r w:rsidRPr="00566F96">
        <w:t xml:space="preserve"> ukazuje asymetrię w wykrywaniu poszczególnych grup:</w:t>
      </w:r>
    </w:p>
    <w:p w14:paraId="50379E30" w14:textId="77777777" w:rsidR="00566F96" w:rsidRPr="00566F96" w:rsidRDefault="00566F96" w:rsidP="00566F96">
      <w:pPr>
        <w:numPr>
          <w:ilvl w:val="0"/>
          <w:numId w:val="4"/>
        </w:numPr>
      </w:pPr>
      <w:r w:rsidRPr="00566F96">
        <w:rPr>
          <w:b/>
          <w:bCs/>
        </w:rPr>
        <w:t>Klasa Głosów Niskich:</w:t>
      </w:r>
      <w:r w:rsidRPr="00566F96">
        <w:t xml:space="preserve"> Model cechuje się bardzo wysoką czułością (</w:t>
      </w:r>
      <w:proofErr w:type="spellStart"/>
      <w:r w:rsidRPr="00566F96">
        <w:rPr>
          <w:i/>
          <w:iCs/>
        </w:rPr>
        <w:t>Recall</w:t>
      </w:r>
      <w:proofErr w:type="spellEnd"/>
      <w:r w:rsidRPr="00566F96">
        <w:t xml:space="preserve"> = 0.89). Oznacza to, że algorytm poprawnie wyłapał 8 na 9 rzeczywistych przypadków głosów niskich.</w:t>
      </w:r>
    </w:p>
    <w:p w14:paraId="00BC8151" w14:textId="77777777" w:rsidR="00566F96" w:rsidRPr="00566F96" w:rsidRDefault="00566F96" w:rsidP="00566F96">
      <w:pPr>
        <w:numPr>
          <w:ilvl w:val="0"/>
          <w:numId w:val="4"/>
        </w:numPr>
      </w:pPr>
      <w:r w:rsidRPr="00566F96">
        <w:rPr>
          <w:b/>
          <w:bCs/>
        </w:rPr>
        <w:t>Klasa Głosów Wysokich:</w:t>
      </w:r>
      <w:r w:rsidRPr="00566F96">
        <w:t xml:space="preserve"> Czułość dla tej klasy wynosi zaledwie 0.50, jednak precyzja (</w:t>
      </w:r>
      <w:r w:rsidRPr="00566F96">
        <w:rPr>
          <w:i/>
          <w:iCs/>
        </w:rPr>
        <w:t>Precision</w:t>
      </w:r>
      <w:r w:rsidRPr="00566F96">
        <w:t>) osiąga wartość 0.83. Wynika z tego, że model jest bardzo "ostrożny" w przypisywaniu tej etykiety – gubi połowę przypadków, ale gdy podejmie decyzję o klasyfikacji jako głos wysoki, w 83% jest ona bezbłędna.</w:t>
      </w:r>
    </w:p>
    <w:p w14:paraId="04F9D504" w14:textId="382CE37E" w:rsidR="00566F96" w:rsidRDefault="00D8003E" w:rsidP="00D8003E">
      <w:pPr>
        <w:pStyle w:val="Nagwek1"/>
        <w:numPr>
          <w:ilvl w:val="0"/>
          <w:numId w:val="3"/>
        </w:numPr>
      </w:pPr>
      <w:r w:rsidRPr="00D8003E">
        <w:t>Interpretacja wyindukowanej wiedzy</w:t>
      </w:r>
    </w:p>
    <w:p w14:paraId="27530D2B" w14:textId="4154F94F" w:rsidR="00D8003E" w:rsidRDefault="00D8003E" w:rsidP="00D8003E">
      <w:pPr>
        <w:pStyle w:val="Akapitzlist"/>
        <w:ind w:firstLine="696"/>
      </w:pPr>
      <w:r w:rsidRPr="00D8003E">
        <w:t>Najistotniejszą wartością poznawczą eksperymentu jest weryfikacja tego, na jakiej podstawie algorytmy podejmowały decyzje o przynależności do sekcji.</w:t>
      </w:r>
      <w:r>
        <w:t xml:space="preserve"> Poniżej zdjęcia wykresów ważności atrybutów dla klasyfikatora z 4 klasami i 2 klasami (w takiej kolejności).</w:t>
      </w:r>
    </w:p>
    <w:p w14:paraId="53B46E94" w14:textId="77777777" w:rsidR="00D8003E" w:rsidRDefault="00D8003E" w:rsidP="00D8003E">
      <w:pPr>
        <w:pStyle w:val="Akapitzlist"/>
        <w:ind w:firstLine="696"/>
      </w:pPr>
      <w:r w:rsidRPr="00D8003E">
        <w:lastRenderedPageBreak/>
        <w:drawing>
          <wp:anchor distT="0" distB="0" distL="114300" distR="114300" simplePos="0" relativeHeight="251661312" behindDoc="1" locked="0" layoutInCell="1" allowOverlap="1" wp14:anchorId="4AF528C5" wp14:editId="0F8C01FC">
            <wp:simplePos x="0" y="0"/>
            <wp:positionH relativeFrom="margin">
              <wp:align>right</wp:align>
            </wp:positionH>
            <wp:positionV relativeFrom="paragraph">
              <wp:posOffset>4477385</wp:posOffset>
            </wp:positionV>
            <wp:extent cx="5760720" cy="3814445"/>
            <wp:effectExtent l="0" t="0" r="0" b="0"/>
            <wp:wrapTight wrapText="bothSides">
              <wp:wrapPolygon edited="0">
                <wp:start x="0" y="0"/>
                <wp:lineTo x="0" y="21467"/>
                <wp:lineTo x="21500" y="21467"/>
                <wp:lineTo x="21500" y="0"/>
                <wp:lineTo x="0" y="0"/>
              </wp:wrapPolygon>
            </wp:wrapTight>
            <wp:docPr id="18607546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7546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003E">
        <w:drawing>
          <wp:anchor distT="0" distB="0" distL="114300" distR="114300" simplePos="0" relativeHeight="251658240" behindDoc="1" locked="0" layoutInCell="1" allowOverlap="1" wp14:anchorId="266C5D84" wp14:editId="4A1C507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60720" cy="3814445"/>
            <wp:effectExtent l="0" t="0" r="0" b="0"/>
            <wp:wrapTight wrapText="bothSides">
              <wp:wrapPolygon edited="0">
                <wp:start x="0" y="0"/>
                <wp:lineTo x="0" y="21467"/>
                <wp:lineTo x="21500" y="21467"/>
                <wp:lineTo x="21500" y="0"/>
                <wp:lineTo x="0" y="0"/>
              </wp:wrapPolygon>
            </wp:wrapTight>
            <wp:docPr id="57597482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482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CC65E" w14:textId="77777777" w:rsidR="00D8003E" w:rsidRDefault="00D8003E" w:rsidP="00D8003E">
      <w:pPr>
        <w:pStyle w:val="Akapitzlist"/>
        <w:ind w:firstLine="696"/>
      </w:pPr>
    </w:p>
    <w:p w14:paraId="67CDAE8A" w14:textId="77777777" w:rsidR="00D8003E" w:rsidRDefault="00D8003E" w:rsidP="00D8003E">
      <w:pPr>
        <w:pStyle w:val="Akapitzlist"/>
        <w:ind w:firstLine="696"/>
      </w:pPr>
    </w:p>
    <w:p w14:paraId="4746B2A0" w14:textId="58ADC7F0" w:rsidR="00D8003E" w:rsidRPr="00D8003E" w:rsidRDefault="00D8003E" w:rsidP="00D8003E">
      <w:r w:rsidRPr="00D8003E">
        <w:lastRenderedPageBreak/>
        <w:t>Z analizy wykresu ważności atrybutów następujące wnioski:</w:t>
      </w:r>
    </w:p>
    <w:p w14:paraId="7E3F6CF4" w14:textId="224A11AB" w:rsidR="00D8003E" w:rsidRPr="00D8003E" w:rsidRDefault="00D8003E" w:rsidP="00D8003E">
      <w:pPr>
        <w:pStyle w:val="Akapitzlist"/>
        <w:ind w:firstLine="696"/>
      </w:pPr>
      <w:r w:rsidRPr="00D8003E">
        <w:rPr>
          <w:b/>
          <w:bCs/>
        </w:rPr>
        <w:t>1. Rola twardej biologii:</w:t>
      </w:r>
      <w:r w:rsidRPr="00D8003E">
        <w:t xml:space="preserve"> W przypadku wariantu 4-klasowego, atrybut warunkowy </w:t>
      </w:r>
      <w:r w:rsidRPr="00D8003E">
        <w:rPr>
          <w:i/>
          <w:iCs/>
        </w:rPr>
        <w:t>Wzrost</w:t>
      </w:r>
      <w:r w:rsidRPr="00D8003E">
        <w:t xml:space="preserve"> zdominował podział, perfekcyjnie odcinając głosy żeńskie od męskich. Potwierdza to fizjologiczne uwarunkowania gdzie </w:t>
      </w:r>
      <w:r>
        <w:t>mężczyźni są zazwyczaj wyżsi od kobiet</w:t>
      </w:r>
      <w:r w:rsidRPr="00D8003E">
        <w:t>.</w:t>
      </w:r>
    </w:p>
    <w:p w14:paraId="6243BBC2" w14:textId="032EA999" w:rsidR="00D8003E" w:rsidRPr="00D8003E" w:rsidRDefault="00D8003E" w:rsidP="00D8003E">
      <w:pPr>
        <w:pStyle w:val="Akapitzlist"/>
        <w:ind w:firstLine="696"/>
      </w:pPr>
      <w:r w:rsidRPr="00D8003E">
        <w:rPr>
          <w:b/>
          <w:bCs/>
        </w:rPr>
        <w:t>2. Potwierdzenie behawioralnych stereotypów:</w:t>
      </w:r>
      <w:r w:rsidRPr="00D8003E">
        <w:t xml:space="preserve"> Na drugim miejscu pod względem ważności uplasował się atrybut </w:t>
      </w:r>
      <w:r w:rsidRPr="00D8003E">
        <w:rPr>
          <w:i/>
          <w:iCs/>
        </w:rPr>
        <w:t>Gadatliwość</w:t>
      </w:r>
      <w:r w:rsidRPr="00D8003E">
        <w:t xml:space="preserve">. Z wyindukowanego grafu Drzewa Decyzyjnego wynika wprost, że w przypadku braku możliwości rozróżnienia instancji na podstawie fizjologii (kobiety o zbliżonym wzroście), model kierował instancje wykazujące wyższą gadatliwość (wartość &gt; 6.5) do węzła klasyfikującego je jako </w:t>
      </w:r>
      <w:r w:rsidRPr="00D8003E">
        <w:rPr>
          <w:i/>
          <w:iCs/>
        </w:rPr>
        <w:t>Alt</w:t>
      </w:r>
      <w:r w:rsidRPr="00D8003E">
        <w:t>. Oznacza to, że algorytm statystycznie potwierdził krążące w chórze stereotypy</w:t>
      </w:r>
      <w:r>
        <w:t>, że alt najwięcej gada w trakcie prób</w:t>
      </w:r>
      <w:r w:rsidRPr="00D8003E">
        <w:t>.</w:t>
      </w:r>
    </w:p>
    <w:p w14:paraId="5B86E9B3" w14:textId="106A7E87" w:rsidR="00D8003E" w:rsidRPr="00D8003E" w:rsidRDefault="00D8003E" w:rsidP="00D8003E">
      <w:pPr>
        <w:pStyle w:val="Akapitzlist"/>
        <w:ind w:firstLine="696"/>
      </w:pPr>
      <w:r w:rsidRPr="00D8003E">
        <w:rPr>
          <w:b/>
          <w:bCs/>
        </w:rPr>
        <w:t>3. Zjawisko utraty mocy atrybutu (Głosy harmoniczne vs. Melodyczne):</w:t>
      </w:r>
      <w:r w:rsidRPr="00D8003E">
        <w:t xml:space="preserve"> Wygenerowanie atrybutu decyzyjnego o 2 klasach (Głosy wysokie i niskie) doprowadziło do wymieszania płci w obu klasach docelowych. Zneutralizowało to predykcyjną moc atrybutu </w:t>
      </w:r>
      <w:r w:rsidRPr="00D8003E">
        <w:rPr>
          <w:i/>
          <w:iCs/>
        </w:rPr>
        <w:t>Wzrost</w:t>
      </w:r>
      <w:r w:rsidRPr="00D8003E">
        <w:t>. Z analizy</w:t>
      </w:r>
      <w:r>
        <w:t xml:space="preserve">, </w:t>
      </w:r>
      <w:r w:rsidRPr="00D8003E">
        <w:t>wynika fascynująca zależność: głosy niskie (tradycyjnie pełniące w chórze funkcje harmoniczne) wykazują w ankietach znacznie wyższą spójność profili psychologicznych i wokalnych. Z kolei głosy wysokie (pełniące funkcje melodyczne/solistyczne) są wysoce zróżnicowane i model oparty wyłącznie na cechach zachowania miał trudności z ich jednoznacznym sprofilowaniem.</w:t>
      </w:r>
    </w:p>
    <w:p w14:paraId="7F51E2E8" w14:textId="6D944096" w:rsidR="00D8003E" w:rsidRPr="00D8003E" w:rsidRDefault="00D8003E" w:rsidP="00D8003E">
      <w:pPr>
        <w:pStyle w:val="Akapitzlist"/>
        <w:ind w:firstLine="696"/>
      </w:pPr>
    </w:p>
    <w:sectPr w:rsidR="00D8003E" w:rsidRPr="00D800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D4DBF"/>
    <w:multiLevelType w:val="hybridMultilevel"/>
    <w:tmpl w:val="8B18C20E"/>
    <w:lvl w:ilvl="0" w:tplc="52A01B9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6631EF"/>
    <w:multiLevelType w:val="multilevel"/>
    <w:tmpl w:val="A89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3468E"/>
    <w:multiLevelType w:val="multilevel"/>
    <w:tmpl w:val="D96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A7D37"/>
    <w:multiLevelType w:val="multilevel"/>
    <w:tmpl w:val="DB4A3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224617">
    <w:abstractNumId w:val="0"/>
  </w:num>
  <w:num w:numId="2" w16cid:durableId="889344976">
    <w:abstractNumId w:val="2"/>
  </w:num>
  <w:num w:numId="3" w16cid:durableId="2134667176">
    <w:abstractNumId w:val="3"/>
  </w:num>
  <w:num w:numId="4" w16cid:durableId="350883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96"/>
    <w:rsid w:val="00566F96"/>
    <w:rsid w:val="007A6BBB"/>
    <w:rsid w:val="00D8003E"/>
    <w:rsid w:val="00E3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D99DA"/>
  <w15:chartTrackingRefBased/>
  <w15:docId w15:val="{3F2D0279-BCC8-4256-ADA6-0EE1FF7E7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66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66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66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66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66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66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66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66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66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6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66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66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66F9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66F9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66F9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66F9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66F9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66F9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66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66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66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66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66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66F9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66F9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66F9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66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66F9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66F96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566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1C92F-8725-4DC4-B3C5-AE11C72F2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883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szukalo</dc:creator>
  <cp:keywords/>
  <dc:description/>
  <cp:lastModifiedBy>maciek szukalo</cp:lastModifiedBy>
  <cp:revision>1</cp:revision>
  <dcterms:created xsi:type="dcterms:W3CDTF">2026-06-16T14:19:00Z</dcterms:created>
  <dcterms:modified xsi:type="dcterms:W3CDTF">2026-06-16T14:45:00Z</dcterms:modified>
</cp:coreProperties>
</file>