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Completed Manual Outcome Selection</w:t>
      </w:r>
    </w:p>
    <w:p>
      <w:pPr>
        <w:pStyle w:val="Normal"/>
      </w:pPr>
      <w:r>
        <w:t xml:space="preserve">Script 17b creates the completed manual outcome selection file used by Script 17. The selection is intentionally narrow and includes only binary self-reported sexual health diagnosis outcomes identified in Script 17a.</w:t>
      </w:r>
    </w:p>
    <w:p>
      <w:pPr>
        <w:pStyle w:val="Titre2"/>
      </w:pPr>
      <w:r>
        <w:t xml:space="preserve">Selected outcomes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manual_outcome_label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manual_outcome_domain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manual_event_code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manual_non_event_code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value_distribution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DIAGNOSED-CHLAMYDIA-W1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 diagnosed with chlamydia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diagnosis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0:2470; 1:88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H1CO16C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S24Q16A EVER DIAGNOSED-GONORRHEA-W1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 diagnosed with gonorrhea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health diagnosis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0, 1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0:2525; 1:36</w:t>
            </w:r>
          </w:p>
        </w:tc>
      </w:tr>
    </w:tbl>
    <w:p>
      <w:pPr>
        <w:pStyle w:val="Titre2"/>
      </w:pPr>
      <w:r>
        <w:t xml:space="preserve">Validation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validation_check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issue_if_false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completed_selection_has_rows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completed selection file is empty.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selected_outcomes_present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 or more intended outcome variables are missing from the completed selection.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exactly_two_outcomes_selected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completed selection should select exactly two outcomes in this step.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all_selected_have_event_code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selected outcome must have manual_event_code.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all_selected_have_non_event_code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selected outcome must have manual_non_event_code.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all_selected_have_outcome_label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selected outcome must have manual_outcome_label.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selected_outcomes_are_binary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selected outcome should be binary.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selected_outcomes_have_valid_values_0_1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selected outcome should have valid values 0 and 1.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 selection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17b selects H1CO16A and H1CO16C as final manually approved binary outcomes for Script 17.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Both selected variables are treated as self-reported sexual health diagnosis outcomes.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 coding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Code 1 is treated as the event, indicating reported diagnosis. Code 0 is treated as the non-event.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Excluded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candidate variables from Script 17a remain unselected for this modelling step.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H1CO1 is not selected because the audited file showed only one valid value in the available analytic extract.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and birth-control-related variables are not selected in this step because they were non-binary, low-valid-n, attitude/access measures, or not clean behavioral/event outcomes for the planned model.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17 results should be interpreted as adjusted associations with self-reported diagnosis outcomes, not as causal estimates.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Revise and re-run Script 17 so that it uses script17a_manual_outcome_selection_COMPLETED.csv rather than automatic outcome detection.</w:t>
            </w:r>
          </w:p>
        </w:tc>
      </w:tr>
    </w:tbl>
    <w:p>
      <w:pPr>
        <w:pStyle w:val="Titre2"/>
      </w:pPr>
      <w:r>
        <w:t xml:space="preserve">Required next action</w:t>
      </w:r>
    </w:p>
    <w:p>
      <w:pPr>
        <w:pStyle w:val="Normal"/>
      </w:pPr>
      <w:r>
        <w:t xml:space="preserve">Re-run Script 17 after revising it to read outputs/audits/script17a_manual_outcome_selection_COMPLETED.csv. Do not rely on automatic outcome detection for final modelling.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2026-07-06T16:04:28Z</dcterms:modified>
  <cp:category/>
</cp:coreProperties>
</file>