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Final Technical Report</w:t>
      </w:r>
    </w:p>
    <w:p>
      <w:pPr>
        <w:pStyle w:val="Titre2"/>
      </w:pPr>
      <w:r>
        <w:t xml:space="preserve">Add Health Wave I Public-Use Adolescent Risk Behavior Analysis</w:t>
      </w:r>
    </w:p>
    <w:p>
      <w:pPr>
        <w:pStyle w:val="Normal"/>
      </w:pPr>
      <w:r>
        <w:t xml:space="preserve">Prepared as part of a reproducible public-use analytical project. This document is generated from aggregate public outputs only.</w:t>
      </w:r>
    </w:p>
    <w:p>
      <w:pPr>
        <w:pStyle w:val="Titre1"/>
      </w:pPr>
      <w:r>
        <w:t xml:space="preserve">Executive summary</w:t>
      </w:r>
    </w:p>
    <w:p>
      <w:pPr>
        <w:pStyle w:val="Normal"/>
      </w:pPr>
      <w:r>
        <w:t xml:space="preserve">- Final reporting models created: 18.</w:t>
      </w:r>
    </w:p>
    <w:p>
      <w:pPr>
        <w:pStyle w:val="Normal"/>
      </w:pPr>
      <w:r>
        <w:t xml:space="preserve">- Outcomes ready for cautious reporting: 16.</w:t>
      </w:r>
    </w:p>
    <w:p>
      <w:pPr>
        <w:pStyle w:val="Normal"/>
      </w:pPr>
      <w:r>
        <w:t xml:space="preserve">- Outcomes requiring manual review: 2.</w:t>
      </w:r>
    </w:p>
    <w:p>
      <w:pPr>
        <w:pStyle w:val="Normal"/>
      </w:pPr>
      <w:r>
        <w:t xml:space="preserve">- Main reportable coefficients: 14.</w:t>
      </w:r>
    </w:p>
    <w:p>
      <w:pPr>
        <w:pStyle w:val="Normal"/>
      </w:pPr>
      <w:r>
        <w:t xml:space="preserve">- Appendix or review coefficients: 1.</w:t>
      </w:r>
    </w:p>
    <w:p>
      <w:pPr>
        <w:pStyle w:val="Normal"/>
      </w:pPr>
      <w:r>
        <w:t xml:space="preserve">- Reporting cautions recorded: 3.</w:t>
      </w:r>
    </w:p>
    <w:p>
      <w:pPr>
        <w:pStyle w:val="Normal"/>
      </w:pPr>
      <w:r>
        <w:t xml:space="preserve">- Dominant selected model: M0: Core controls.</w:t>
      </w:r>
    </w:p>
    <w:p>
      <w:pPr>
        <w:pStyle w:val="Normal"/>
      </w:pPr>
      <w:r>
        <w:t xml:space="preserve">- The estimates are associational and should not be interpreted as causal effects.</w:t>
      </w:r>
    </w:p>
    <w:p>
      <w:pPr>
        <w:pStyle w:val="Normal"/>
      </w:pPr>
      <w:r>
        <w:t xml:space="preserve">- No individual-level data are read or exported by Script 13.</w:t>
      </w:r>
    </w:p>
    <w:p>
      <w:pPr>
        <w:pStyle w:val="Titre1"/>
      </w:pPr>
      <w:r>
        <w:t xml:space="preserve">1. Purpose and scope</w:t>
      </w:r>
    </w:p>
    <w:p>
      <w:pPr>
        <w:pStyle w:val="Normal"/>
      </w:pPr>
      <w:r>
        <w:t xml:space="preserve">This report documents the final analytical workflow, selected models, reporting tables, robustness checks and limitations of the Add Health Wave I public-use adolescent risk behavior analysis.</w:t>
      </w:r>
    </w:p>
    <w:p>
      <w:pPr>
        <w:pStyle w:val="Normal"/>
      </w:pPr>
      <w:r>
        <w:t xml:space="preserve">The analysis is intended as a reproducible public-use replication framework. It does not publish original thesis microdata or individual-level Add Health data.</w:t>
      </w:r>
    </w:p>
    <w:p>
      <w:pPr>
        <w:pStyle w:val="Titre1"/>
      </w:pPr>
      <w:r>
        <w:t xml:space="preserve">2. Data protection and reproducibility</w:t>
      </w:r>
    </w:p>
    <w:p>
      <w:pPr>
        <w:pStyle w:val="Normal"/>
      </w:pPr>
      <w:r>
        <w:t xml:space="preserve">The project separates public reproducible scripts and aggregate outputs from restricted, raw or individual-level data. Files in data/raw, data/processed and other private review locations are not part of the public reporting output.</w:t>
      </w:r>
    </w:p>
    <w:p>
      <w:pPr>
        <w:pStyle w:val="Titre1"/>
      </w:pPr>
      <w:r>
        <w:t xml:space="preserve">3. Analytical workflow</w:t>
      </w:r>
    </w:p>
    <w:p>
      <w:pPr>
        <w:pStyle w:val="Normal"/>
      </w:pPr>
      <w:r>
        <w:t xml:space="preserve">- Documentation and feasibility audit.</w:t>
      </w:r>
    </w:p>
    <w:p>
      <w:pPr>
        <w:pStyle w:val="Normal"/>
      </w:pPr>
      <w:r>
        <w:t xml:space="preserve">- Thesis questionnaire construct inventory.</w:t>
      </w:r>
    </w:p>
    <w:p>
      <w:pPr>
        <w:pStyle w:val="Normal"/>
      </w:pPr>
      <w:r>
        <w:t xml:space="preserve">- Add Health documentation and codebook review.</w:t>
      </w:r>
    </w:p>
    <w:p>
      <w:pPr>
        <w:pStyle w:val="Normal"/>
      </w:pPr>
      <w:r>
        <w:t xml:space="preserve">- Variable mapping and import planning.</w:t>
      </w:r>
    </w:p>
    <w:p>
      <w:pPr>
        <w:pStyle w:val="Normal"/>
      </w:pPr>
      <w:r>
        <w:t xml:space="preserve">- Public-use Wave I variable import.</w:t>
      </w:r>
    </w:p>
    <w:p>
      <w:pPr>
        <w:pStyle w:val="Normal"/>
      </w:pPr>
      <w:r>
        <w:t xml:space="preserve">- Analytical recoding and sample definition.</w:t>
      </w:r>
    </w:p>
    <w:p>
      <w:pPr>
        <w:pStyle w:val="Normal"/>
      </w:pPr>
      <w:r>
        <w:t xml:space="preserve">- Weighted descriptive statistics.</w:t>
      </w:r>
    </w:p>
    <w:p>
      <w:pPr>
        <w:pStyle w:val="Normal"/>
      </w:pPr>
      <w:r>
        <w:t xml:space="preserve">- Missing-data and recode review.</w:t>
      </w:r>
    </w:p>
    <w:p>
      <w:pPr>
        <w:pStyle w:val="Normal"/>
      </w:pPr>
      <w:r>
        <w:t xml:space="preserve">- Weighted bivariate association analysis.</w:t>
      </w:r>
    </w:p>
    <w:p>
      <w:pPr>
        <w:pStyle w:val="Normal"/>
      </w:pPr>
      <w:r>
        <w:t xml:space="preserve">- Modeling framework construction.</w:t>
      </w:r>
    </w:p>
    <w:p>
      <w:pPr>
        <w:pStyle w:val="Normal"/>
      </w:pPr>
      <w:r>
        <w:t xml:space="preserve">- Weighted logistic regression modeling.</w:t>
      </w:r>
    </w:p>
    <w:p>
      <w:pPr>
        <w:pStyle w:val="Normal"/>
      </w:pPr>
      <w:r>
        <w:t xml:space="preserve">- Model review and final model selection.</w:t>
      </w:r>
    </w:p>
    <w:p>
      <w:pPr>
        <w:pStyle w:val="Normal"/>
      </w:pPr>
      <w:r>
        <w:t xml:space="preserve">- Final reporting tables and narrative interpretation.</w:t>
      </w:r>
    </w:p>
    <w:p>
      <w:pPr>
        <w:pStyle w:val="Normal"/>
      </w:pPr>
      <w:r>
        <w:t xml:space="preserve">- Final technical report generation.</w:t>
      </w:r>
    </w:p>
    <w:p>
      <w:pPr>
        <w:pStyle w:val="Titre1"/>
      </w:pPr>
      <w:r>
        <w:t xml:space="preserve">4. Modeling strategy</w:t>
      </w:r>
    </w:p>
    <w:p>
      <w:pPr>
        <w:pStyle w:val="Normal"/>
      </w:pPr>
      <w:r>
        <w:t xml:space="preserve">The final models are selected from weighted logistic regression outputs. The main sample includes students in grades 10 to 12. The strict sensitivity sample additionally restricts observations to ages 15 to 19. The reporting stage favors technically stable and conservative models.</w:t>
      </w:r>
    </w:p>
    <w:p>
      <w:pPr>
        <w:pStyle w:val="Titre1"/>
      </w:pPr>
      <w:r>
        <w:t xml:space="preserve">5. Final model summary</w:t>
      </w:r>
    </w:p>
    <w:p>
      <w:pPr>
        <w:pStyle w:val="Titre3"/>
      </w:pPr>
      <w:r>
        <w:t xml:space="preserve">Table 1. Final reporting model summary</w:t>
      </w:r>
    </w:p>
    <w:tbl xmlns:a="http://schemas.openxmlformats.org/drawingml/2006/main" xmlns:pic="http://schemas.openxmlformats.org/drawingml/2006/picture">
      <w:tblPr>
        <w:tblLayout w:type="fixed"/>
        <w:jc w:val="center"/>
        <w:tblLook w:firstRow="1" w:lastRow="0" w:firstColumn="0" w:lastColumn="0" w:noHBand="0" w:noVBand="1"/>
      </w:tblPr>
      <w:tblGrid>
        <w:gridCol w:w="5706"/>
        <w:gridCol w:w="2380"/>
        <w:gridCol w:w="1842"/>
        <w:gridCol w:w="2147"/>
        <w:gridCol w:w="3174"/>
        <w:gridCol w:w="1976"/>
        <w:gridCol w:w="1548"/>
        <w:gridCol w:w="1964"/>
        <w:gridCol w:w="1866"/>
        <w:gridCol w:w="2172"/>
        <w:gridCol w:w="1768"/>
        <w:gridCol w:w="2306"/>
        <w:gridCol w:w="1389"/>
        <w:gridCol w:w="1927"/>
        <w:gridCol w:w="349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selected_model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reporting_status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suitability_score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n_complete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n_outcome_yes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n_outcome_no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weighted_pct_yes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n_extreme_or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n_very_extreme_or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n_wide_ci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n_very_wide_ci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n_possible_conceptual_overlap</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a_H1CO13_yesno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a_H1CO16A_yesno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a_H1CO16C_yesno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Manual review required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a_H1CO6_yesno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a_H1CO8_yesno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a_H1CO16A_yesno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a_H1CO16C_yesno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Manual review required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a_H1CO6_yesno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a_H1CO8_yesno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 for cautious reporting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bl>
    <w:p>
      <w:pPr>
        <w:pStyle w:val="Normal"/>
      </w:pPr>
      <w:r>
        <w:t xml:space="preserve"/>
      </w:r>
    </w:p>
    <w:p>
      <w:pPr>
        <w:pStyle w:val="Titre1"/>
      </w:pPr>
      <w:r>
        <w:t xml:space="preserve">6. Main reportable coefficients</w:t>
      </w:r>
    </w:p>
    <w:p>
      <w:pPr>
        <w:pStyle w:val="Titre3"/>
      </w:pPr>
      <w:r>
        <w:t xml:space="preserve">Table 2. Main reportable odds ratios</w:t>
      </w:r>
    </w:p>
    <w:tbl xmlns:a="http://schemas.openxmlformats.org/drawingml/2006/main" xmlns:pic="http://schemas.openxmlformats.org/drawingml/2006/picture">
      <w:tblPr>
        <w:tblLayout w:type="fixed"/>
        <w:jc w:val="center"/>
        <w:tblLook w:firstRow="1" w:lastRow="0" w:firstColumn="0" w:lastColumn="0" w:noHBand="0" w:noVBand="1"/>
      </w:tblPr>
      <w:tblGrid>
        <w:gridCol w:w="5706"/>
        <w:gridCol w:w="2367"/>
        <w:gridCol w:w="1842"/>
        <w:gridCol w:w="2147"/>
        <w:gridCol w:w="1267"/>
        <w:gridCol w:w="1438"/>
        <w:gridCol w:w="2306"/>
        <w:gridCol w:w="1181"/>
        <w:gridCol w:w="395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selected_model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odds_ratio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confidence_interval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interpretation_status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a_H1CO16A_yesno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2.35]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a_H1CO6_yesno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a_H1CO8_yesno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a_H1CO8_yesno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 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1.63]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for cautious interpretation</w:t>
            </w:r>
          </w:p>
        </w:tc>
      </w:tr>
    </w:tbl>
    <w:p>
      <w:pPr>
        <w:pStyle w:val="Normal"/>
      </w:pPr>
      <w:r>
        <w:t xml:space="preserve"/>
      </w:r>
    </w:p>
    <w:p>
      <w:pPr>
        <w:pStyle w:val="Titre1"/>
      </w:pPr>
      <w:r>
        <w:t xml:space="preserve">7. Appendix or review coefficients</w:t>
      </w:r>
    </w:p>
    <w:p>
      <w:pPr>
        <w:pStyle w:val="Titre3"/>
      </w:pPr>
      <w:r>
        <w:t xml:space="preserve">Table 3. Coefficients requiring appendix placement or manual review</w:t>
      </w:r>
    </w:p>
    <w:tbl xmlns:a="http://schemas.openxmlformats.org/drawingml/2006/main" xmlns:pic="http://schemas.openxmlformats.org/drawingml/2006/picture">
      <w:tblPr>
        <w:tblLayout w:type="fixed"/>
        <w:jc w:val="center"/>
        <w:tblLook w:firstRow="1" w:lastRow="0" w:firstColumn="0" w:lastColumn="0" w:noHBand="0" w:noVBand="1"/>
      </w:tblPr>
      <w:tblGrid>
        <w:gridCol w:w="3077"/>
        <w:gridCol w:w="2380"/>
        <w:gridCol w:w="1842"/>
        <w:gridCol w:w="2147"/>
        <w:gridCol w:w="1267"/>
        <w:gridCol w:w="1438"/>
        <w:gridCol w:w="2306"/>
        <w:gridCol w:w="1181"/>
        <w:gridCol w:w="3602"/>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selected_model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odds_ratio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confidence_interval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review_status</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a_H1CO16C_yesno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 6.05]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0.704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Review: wide confidence interval</w:t>
            </w:r>
          </w:p>
        </w:tc>
      </w:tr>
    </w:tbl>
    <w:p>
      <w:pPr>
        <w:pStyle w:val="Normal"/>
      </w:pPr>
      <w:r>
        <w:t xml:space="preserve"/>
      </w:r>
    </w:p>
    <w:p>
      <w:pPr>
        <w:pStyle w:val="Titre1"/>
      </w:pPr>
      <w:r>
        <w:t xml:space="preserve">8. Narrative results</w:t>
      </w:r>
    </w:p>
    <w:p>
      <w:pPr>
        <w:pStyle w:val="Titre2"/>
      </w:pPr>
      <w:r>
        <w:t xml:space="preserve">8.1 Main sample</w:t>
      </w:r>
    </w:p>
    <w:p>
      <w:pPr>
        <w:pStyle w:val="Titre3"/>
      </w:pPr>
      <w:r>
        <w:t xml:space="preserve">Outcome narrative 1</w:t>
      </w:r>
    </w:p>
    <w:p>
      <w:pPr>
        <w:pStyle w:val="Normal"/>
      </w:pPr>
      <w:r>
        <w:t xml:space="preserve">For outcome H1CO13, the selected reporting model is M0: Core controls. The model decision is Alternative stable model, with reporting status: Ready for cautious reporting. Suitability score: 100/100. No coefficient from the selected model was prioritized for substantive interpretation. All results are associational and should not be interpreted as causal effects.</w:t>
      </w:r>
    </w:p>
    <w:p>
      <w:pPr>
        <w:pStyle w:val="Titre3"/>
      </w:pPr>
      <w:r>
        <w:t xml:space="preserve">Outcome narrative 2</w:t>
      </w:r>
    </w:p>
    <w:p>
      <w:pPr>
        <w:pStyle w:val="Normal"/>
      </w:pPr>
      <w:r>
        <w:t xml:space="preserve">For outcome H1CO16A, the selected reporting model is M0: Core controls. The model decision is Alternative stable model, with reporting status: Ready for cautious reporting. Suitability score: 100/100. In the selected model, age is associated with higher odds of H1CO16A (OR = 1.58, 95% CI [1.06; 2.35], p = 0.024). Interpretation status: Candidate for cautious interpretation. All results are associational and should not be interpreted as causal effects.</w:t>
      </w:r>
    </w:p>
    <w:p>
      <w:pPr>
        <w:pStyle w:val="Titre3"/>
      </w:pPr>
      <w:r>
        <w:t xml:space="preserve">Outcome narrative 3</w:t>
      </w:r>
    </w:p>
    <w:p>
      <w:pPr>
        <w:pStyle w:val="Normal"/>
      </w:pPr>
      <w:r>
        <w:t xml:space="preserve">For outcome H1CO16C, the selected reporting model is M0: Core controls. The model decision is Alternative model with caution, with reporting status: Report only after manual review. Suitability score: 75/100. In the selected model, grade is associated with higher odds of H1CO16C (OR = 1.34, 95% CI [0.30; 6.05], p = 0.704). Interpretation status: Review: wide confidence interval. All results are associational and should not be interpreted as causal effects.</w:t>
      </w:r>
    </w:p>
    <w:p>
      <w:pPr>
        <w:pStyle w:val="Titre3"/>
      </w:pPr>
      <w:r>
        <w:t xml:space="preserve">Outcome narrative 4</w:t>
      </w:r>
    </w:p>
    <w:p>
      <w:pPr>
        <w:pStyle w:val="Normal"/>
      </w:pPr>
      <w:r>
        <w:t xml:space="preserve">For outcome H1CO3, the selected reporting model is M0: Core controls. The model decision is Alternative stable model, with reporting status: Ready for cautious reporting. Suitability score: 100/100. No coefficient from the selected model was prioritized for substantive interpretation. All results are associational and should not be interpreted as causal effects.</w:t>
      </w:r>
    </w:p>
    <w:p>
      <w:pPr>
        <w:pStyle w:val="Titre3"/>
      </w:pPr>
      <w:r>
        <w:t xml:space="preserve">Outcome narrative 5</w:t>
      </w:r>
    </w:p>
    <w:p>
      <w:pPr>
        <w:pStyle w:val="Normal"/>
      </w:pPr>
      <w:r>
        <w:t xml:space="preserve">For outcome H1CO6, the selected reporting model is M0: Core controls. The model decision is Alternative stable model, with reporting status: Ready for cautious reporting. Suitability score: 100/100. In the selected model, age is associated with lower odds of H1CO6 (OR = 0.84, 95% CI [0.72; 0.98], p = 0.031). Interpretation status: Candidate for cautious interpretation. All results are associational and should not be interpreted as causal effects.</w:t>
      </w:r>
    </w:p>
    <w:p>
      <w:pPr>
        <w:pStyle w:val="Titre3"/>
      </w:pPr>
      <w:r>
        <w:t xml:space="preserve">Outcome narrative 6</w:t>
      </w:r>
    </w:p>
    <w:p>
      <w:pPr>
        <w:pStyle w:val="Normal"/>
      </w:pPr>
      <w:r>
        <w:t xml:space="preserve">For outcome H1CO8, the selected reporting model is M0: Core controls. The model decision is Alternative stable model, with reporting status: Ready for cautious reporting. Suitability score: 100/100. In the selected model, age is associated with higher odds of H1CO8 (OR = 1.36, 95% CI [1.00; 1.85], p = 0.050). Interpretation status: Candidate for cautious interpretation. All results are associational and should not be interpreted as causal effects.</w:t>
      </w:r>
    </w:p>
    <w:p>
      <w:pPr>
        <w:pStyle w:val="Titre3"/>
      </w:pPr>
      <w:r>
        <w:t xml:space="preserve">Outcome narrative 7</w:t>
      </w:r>
    </w:p>
    <w:p>
      <w:pPr>
        <w:pStyle w:val="Normal"/>
      </w:pPr>
      <w:r>
        <w:t xml:space="preserve">For outcome H1FP7, the selected reporting model is M0: Core controls. The model decision is Alternative stable model, with reporting status: Ready for cautious reporting. Suitability score: 100/100. In the selected model, age is associated with higher odds of H1FP7 (OR = 1.95, 95% CI [1.45; 2.62], p = &lt;0.001). Interpretation status: Candidate for cautious interpretation. All results are associational and should not be interpreted as causal effects.</w:t>
      </w:r>
    </w:p>
    <w:p>
      <w:pPr>
        <w:pStyle w:val="Titre3"/>
      </w:pPr>
      <w:r>
        <w:t xml:space="preserve">Outcome narrative 8</w:t>
      </w:r>
    </w:p>
    <w:p>
      <w:pPr>
        <w:pStyle w:val="Normal"/>
      </w:pPr>
      <w:r>
        <w:t xml:space="preserve">For outcome H1HS9, the selected reporting model is M0: Core controls. The model decision is Alternative stable model, with reporting status: Ready for cautious reporting. Suitability score: 100/100. In the selected model, age is associated with higher odds of H1HS9 (OR = 1.61, 95% CI [1.30; 1.98], p = &lt;0.001). Interpretation status: Candidate for cautious interpretation. All results are associational and should not be interpreted as causal effects.</w:t>
      </w:r>
    </w:p>
    <w:p>
      <w:pPr>
        <w:pStyle w:val="Titre3"/>
      </w:pPr>
      <w:r>
        <w:t xml:space="preserve">Outcome narrative 9</w:t>
      </w:r>
    </w:p>
    <w:p>
      <w:pPr>
        <w:pStyle w:val="Normal"/>
      </w:pPr>
      <w:r>
        <w:t xml:space="preserve">For outcome sex ever, the selected reporting model is M0: Core controls. The model decision is Alternative stable model, with reporting status: Ready for cautious reporting. Suitability score: 100/100. In the selected model, age is associated with higher odds of sex ever (OR = 1.33, 95% CI [1.19; 1.50], p = &lt;0.001). Interpretation status: Candidate for cautious interpretation. In the selected model, grade is associated with higher odds of sex ever (OR = 1.49, 95% CI [1.12; 1.99], p = 0.007). Interpretation status: Candidate for cautious interpretation. In the selected model, grade is associated with higher odds of sex ever (OR = 1.32, 95% CI [1.06; 1.63], p = 0.012). Interpretation status: Candidate for cautious interpretation. All results are associational and should not be interpreted as causal effects.</w:t>
      </w:r>
    </w:p>
    <w:p>
      <w:pPr>
        <w:pStyle w:val="Titre2"/>
      </w:pPr>
      <w:r>
        <w:t xml:space="preserve">8.2 Strict sensitivity sample</w:t>
      </w:r>
    </w:p>
    <w:p>
      <w:pPr>
        <w:pStyle w:val="Titre3"/>
      </w:pPr>
      <w:r>
        <w:t xml:space="preserve">Sensitivity narrative 1</w:t>
      </w:r>
    </w:p>
    <w:p>
      <w:pPr>
        <w:pStyle w:val="Normal"/>
      </w:pPr>
      <w:r>
        <w:t xml:space="preserve">For outcome H1CO13, the selected reporting model is M0: Core controls. The model decision is Alternative stable model, with reporting status: Ready for cautious reporting. Suitability score: 100/100. No coefficient from the selected model was prioritized for substantive interpretation. All results are associational and should not be interpreted as causal effects.</w:t>
      </w:r>
    </w:p>
    <w:p>
      <w:pPr>
        <w:pStyle w:val="Titre3"/>
      </w:pPr>
      <w:r>
        <w:t xml:space="preserve">Sensitivity narrative 2</w:t>
      </w:r>
    </w:p>
    <w:p>
      <w:pPr>
        <w:pStyle w:val="Normal"/>
      </w:pPr>
      <w:r>
        <w:t xml:space="preserve">For outcome H1CO16A, the selected reporting model is M0: Core controls. The model decision is Alternative stable model, with reporting status: Ready for cautious reporting. Suitability score: 100/100. No coefficient from the selected model was prioritized for substantive interpretation. All results are associational and should not be interpreted as causal effects.</w:t>
      </w:r>
    </w:p>
    <w:p>
      <w:pPr>
        <w:pStyle w:val="Titre3"/>
      </w:pPr>
      <w:r>
        <w:t xml:space="preserve">Sensitivity narrative 3</w:t>
      </w:r>
    </w:p>
    <w:p>
      <w:pPr>
        <w:pStyle w:val="Normal"/>
      </w:pPr>
      <w:r>
        <w:t xml:space="preserve">For outcome H1CO16C, the selected reporting model is M0: Core controls. The model decision is Alternative model with caution, with reporting status: Report only after manual review. Suitability score: 85/100. No coefficient from the selected model was prioritized for substantive interpretation. All results are associational and should not be interpreted as causal effects.</w:t>
      </w:r>
    </w:p>
    <w:p>
      <w:pPr>
        <w:pStyle w:val="Titre3"/>
      </w:pPr>
      <w:r>
        <w:t xml:space="preserve">Sensitivity narrative 4</w:t>
      </w:r>
    </w:p>
    <w:p>
      <w:pPr>
        <w:pStyle w:val="Normal"/>
      </w:pPr>
      <w:r>
        <w:t xml:space="preserve">For outcome H1CO3, the selected reporting model is M0: Core controls. The model decision is Alternative stable model, with reporting status: Ready for cautious reporting. Suitability score: 100/100. No coefficient from the selected model was prioritized for substantive interpretation. All results are associational and should not be interpreted as causal effects.</w:t>
      </w:r>
    </w:p>
    <w:p>
      <w:pPr>
        <w:pStyle w:val="Titre3"/>
      </w:pPr>
      <w:r>
        <w:t xml:space="preserve">Sensitivity narrative 5</w:t>
      </w:r>
    </w:p>
    <w:p>
      <w:pPr>
        <w:pStyle w:val="Normal"/>
      </w:pPr>
      <w:r>
        <w:t xml:space="preserve">For outcome H1CO6, the selected reporting model is M0: Core controls. The model decision is Alternative stable model, with reporting status: Ready for cautious reporting. Suitability score: 100/100. No coefficient from the selected model was prioritized for substantive interpretation. All results are associational and should not be interpreted as causal effects.</w:t>
      </w:r>
    </w:p>
    <w:p>
      <w:pPr>
        <w:pStyle w:val="Titre3"/>
      </w:pPr>
      <w:r>
        <w:t xml:space="preserve">Sensitivity narrative 6</w:t>
      </w:r>
    </w:p>
    <w:p>
      <w:pPr>
        <w:pStyle w:val="Normal"/>
      </w:pPr>
      <w:r>
        <w:t xml:space="preserve">For outcome H1CO8, the selected reporting model is M0: Core controls. The model decision is Alternative stable model, with reporting status: Ready for cautious reporting. Suitability score: 100/100. In the selected model, age is associated with higher odds of H1CO8 (OR = 1.40, 95% CI [1.02; 1.94], p = 0.041). Interpretation status: Candidate for cautious interpretation. All results are associational and should not be interpreted as causal effects.</w:t>
      </w:r>
    </w:p>
    <w:p>
      <w:pPr>
        <w:pStyle w:val="Titre3"/>
      </w:pPr>
      <w:r>
        <w:t xml:space="preserve">Sensitivity narrative 7</w:t>
      </w:r>
    </w:p>
    <w:p>
      <w:pPr>
        <w:pStyle w:val="Normal"/>
      </w:pPr>
      <w:r>
        <w:t xml:space="preserve">For outcome H1FP7, the selected reporting model is M0: Core controls. The model decision is Alternative stable model, with reporting status: Ready for cautious reporting. Suitability score: 100/100. In the selected model, age is associated with higher odds of H1FP7 (OR = 1.85, 95% CI [1.36; 2.52], p = &lt;0.001). Interpretation status: Candidate for cautious interpretation. All results are associational and should not be interpreted as causal effects.</w:t>
      </w:r>
    </w:p>
    <w:p>
      <w:pPr>
        <w:pStyle w:val="Titre3"/>
      </w:pPr>
      <w:r>
        <w:t xml:space="preserve">Sensitivity narrative 8</w:t>
      </w:r>
    </w:p>
    <w:p>
      <w:pPr>
        <w:pStyle w:val="Normal"/>
      </w:pPr>
      <w:r>
        <w:t xml:space="preserve">For outcome H1HS9, the selected reporting model is M0: Core controls. The model decision is Alternative stable model, with reporting status: Ready for cautious reporting. Suitability score: 100/100. In the selected model, age is associated with higher odds of H1HS9 (OR = 1.63, 95% CI [1.29; 2.05], p = &lt;0.001). Interpretation status: Candidate for cautious interpretation. All results are associational and should not be interpreted as causal effects.</w:t>
      </w:r>
    </w:p>
    <w:p>
      <w:pPr>
        <w:pStyle w:val="Titre3"/>
      </w:pPr>
      <w:r>
        <w:t xml:space="preserve">Sensitivity narrative 9</w:t>
      </w:r>
    </w:p>
    <w:p>
      <w:pPr>
        <w:pStyle w:val="Normal"/>
      </w:pPr>
      <w:r>
        <w:t xml:space="preserve">For outcome sex ever, the selected reporting model is M0: Core controls. The model decision is Alternative stable model, with reporting status: Ready for cautious reporting. Suitability score: 100/100. In the selected model, age is associated with higher odds of sex ever (OR = 1.35, 95% CI [1.20; 1.53], p = &lt;0.001). Interpretation status: Candidate for cautious interpretation. In the selected model, grade is associated with higher odds of sex ever (OR = 1.48, 95% CI [1.10; 1.98], p = 0.009). Interpretation status: Candidate for cautious interpretation. In the selected model, grade is associated with higher odds of sex ever (OR = 1.31, 95% CI [1.05; 1.63], p = 0.015). Interpretation status: Candidate for cautious interpretation. All results are associational and should not be interpreted as causal effects.</w:t>
      </w:r>
    </w:p>
    <w:p>
      <w:pPr>
        <w:pStyle w:val="Titre1"/>
      </w:pPr>
      <w:r>
        <w:t xml:space="preserve">9. Robustness summary</w:t>
      </w:r>
    </w:p>
    <w:p>
      <w:pPr>
        <w:pStyle w:val="Titre3"/>
      </w:pPr>
      <w:r>
        <w:t xml:space="preserve">Table 4. Main-versus-strict sample robustness</w:t>
      </w:r>
    </w:p>
    <w:tbl xmlns:a="http://schemas.openxmlformats.org/drawingml/2006/main" xmlns:pic="http://schemas.openxmlformats.org/drawingml/2006/picture">
      <w:tblPr>
        <w:tblLayout w:type="fixed"/>
        <w:jc w:val="center"/>
        <w:tblLook w:firstRow="1" w:lastRow="0" w:firstColumn="0" w:lastColumn="0" w:noHBand="0" w:noVBand="1"/>
      </w:tblPr>
      <w:tblGrid>
        <w:gridCol w:w="2380"/>
        <w:gridCol w:w="1842"/>
        <w:gridCol w:w="3345"/>
        <w:gridCol w:w="2857"/>
        <w:gridCol w:w="2147"/>
        <w:gridCol w:w="2575"/>
        <w:gridCol w:w="3982"/>
        <w:gridCol w:w="3761"/>
        <w:gridCol w:w="3713"/>
        <w:gridCol w:w="3664"/>
        <w:gridCol w:w="694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model_stage_label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n_coefficients_compared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n_same_direction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share_same_direction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n_robust_significant_same_direction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n_partially_robust_same_direction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n_direction_changes_or_unstable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robustness_summary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robustness_reporting_note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a_H1CO13_yesno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M1: Family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 Knowledge and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 Peers and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M6: Final parsimonious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a_H1CO16A_yesno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a_H1CO16A_yesno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M1: Family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a_H1CO16A_yesno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 Knowledge and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a_H1CO16A_yesno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M6: Final parsimonious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a_H1CO16C_yesno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a_H1CO16C_yesno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M1: Family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a_H1CO16C_yesno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 Knowledge and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a_H1CO16C_yesno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M6: Final parsimonious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M1: Family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 School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 Knowledge and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 Peers and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a_H1CO3_yesno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M6: Final parsimonious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a_H1CO6_yesno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a_H1CO6_yesno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M1: Family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a_H1CO6_yesno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 School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a_H1CO6_yesno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 Knowledge and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a_H1CO6_yesno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M6: Final parsimonious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a_H1CO8_yesno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a_H1CO8_yesno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M1: Family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a_H1CO8_yesno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 Knowledge and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a_H1CO8_yesno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M6: Final parsimonious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M1: Family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 Knowledge and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 Peers and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a_H1FP7_yesno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M6: Final parsimonious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M1: Family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 School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 Knowledge and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 Peers and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consistency between main and strict samples.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a_H1HS9_yesno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M6: Final parsimonious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moderate_directional_robustness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consistency between main and strict samples.</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a_sex_ever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ever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M0: Core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high_directional_robustness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consistency between main and strict samples.</w:t>
            </w:r>
          </w:p>
        </w:tc>
      </w:tr>
    </w:tbl>
    <w:p>
      <w:pPr>
        <w:pStyle w:val="Normal"/>
      </w:pPr>
      <w:r>
        <w:t xml:space="preserve"/>
      </w:r>
    </w:p>
    <w:p>
      <w:pPr>
        <w:pStyle w:val="Titre1"/>
      </w:pPr>
      <w:r>
        <w:t xml:space="preserve">10. Reporting cautions</w:t>
      </w:r>
    </w:p>
    <w:p>
      <w:pPr>
        <w:pStyle w:val="Normal"/>
      </w:pPr>
      <w:r>
        <w:t xml:space="preserve">The caution register records model-level and coefficient-level issues that require attention before substantive interpretation.</w:t>
      </w:r>
    </w:p>
    <w:p>
      <w:pPr>
        <w:pStyle w:val="Titre3"/>
      </w:pPr>
      <w:r>
        <w:t xml:space="preserve">Table 5. Reporting caution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5706"/>
        <w:gridCol w:w="1695"/>
        <w:gridCol w:w="2808"/>
        <w:gridCol w:w="147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caution_level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caution_type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n_cautions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model_level_caution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sample: grades 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coefficient_level_caution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Strict sensitivity sample: grades 10-12 and ages 15-19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model_level_caution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bl>
    <w:p>
      <w:pPr>
        <w:pStyle w:val="Normal"/>
      </w:pPr>
      <w:r>
        <w:t xml:space="preserve"/>
      </w:r>
    </w:p>
    <w:p>
      <w:pPr>
        <w:pStyle w:val="Titre1"/>
      </w:pPr>
      <w:r>
        <w:t xml:space="preserve">11. Methodological limitations</w:t>
      </w:r>
    </w:p>
    <w:p>
      <w:pPr>
        <w:pStyle w:val="Normal"/>
      </w:pPr>
      <w:r>
        <w:t xml:space="preserve">- The estimates are associational and not causal.</w:t>
      </w:r>
    </w:p>
    <w:p>
      <w:pPr>
        <w:pStyle w:val="Normal"/>
      </w:pPr>
      <w:r>
        <w:t xml:space="preserve">- Some constructs are limited by the public-use variable structure.</w:t>
      </w:r>
    </w:p>
    <w:p>
      <w:pPr>
        <w:pStyle w:val="Normal"/>
      </w:pPr>
      <w:r>
        <w:t xml:space="preserve">- Richer models were not selected when they showed instability, extreme odds ratios or wide confidence intervals.</w:t>
      </w:r>
    </w:p>
    <w:p>
      <w:pPr>
        <w:pStyle w:val="Normal"/>
      </w:pPr>
      <w:r>
        <w:t xml:space="preserve">- Rare outcomes require cautious interpretation.</w:t>
      </w:r>
    </w:p>
    <w:p>
      <w:pPr>
        <w:pStyle w:val="Normal"/>
      </w:pPr>
      <w:r>
        <w:t xml:space="preserve">- The final report prioritizes conservative and technically defensible reporting.</w:t>
      </w:r>
    </w:p>
    <w:p>
      <w:pPr>
        <w:pStyle w:val="Titre1"/>
      </w:pPr>
      <w:r>
        <w:t xml:space="preserve">12. Conclusion</w:t>
      </w:r>
    </w:p>
    <w:p>
      <w:pPr>
        <w:pStyle w:val="Normal"/>
      </w:pPr>
      <w:r>
        <w:t xml:space="preserve">The final reporting results support cautious descriptive interpretation. The most defensible final models are conservative core-control models. They provide adjusted associations for key demographic controls, while richer substantive models remain exploratory or require additional manual review.</w:t>
      </w:r>
    </w:p>
    <w:p>
      <w:pPr>
        <w:pStyle w:val="Titre1"/>
      </w:pPr>
      <w:r>
        <w:t xml:space="preserve">13. Output inventory</w:t>
      </w:r>
    </w:p>
    <w:p>
      <w:pPr>
        <w:pStyle w:val="Titre3"/>
      </w:pPr>
      <w:r>
        <w:t xml:space="preserve">Table 6. Script 13 public output inventory</w:t>
      </w:r>
    </w:p>
    <w:tbl xmlns:a="http://schemas.openxmlformats.org/drawingml/2006/main" xmlns:pic="http://schemas.openxmlformats.org/drawingml/2006/picture">
      <w:tblPr>
        <w:tblLayout w:type="fixed"/>
        <w:jc w:val="center"/>
        <w:tblLook w:firstRow="1" w:lastRow="0" w:firstColumn="0" w:lastColumn="0" w:noHBand="0" w:noVBand="1"/>
      </w:tblPr>
      <w:tblGrid>
        <w:gridCol w:w="3076"/>
        <w:gridCol w:w="6806"/>
        <w:gridCol w:w="152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output_type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public_safe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Markdown report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docs/add_health_wave01_final_technical_report_script13.md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Word report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docs/add_health_wave01_final_technical_report_script13.docx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Excel workbook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outputs/tables/script13_wave01_final_report_tables.xlsx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 summary 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outputs/tables/script13_wave01_report_model_summary.csv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results 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outputs/tables/script13_wave01_report_main_results.csv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Appendix review 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outputs/tables/script13_wave01_report_appendix_results.csv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Robustness summary 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outputs/tables/script13_wave01_report_robustness_summary.csv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Caution summary 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outputs/tables/script13_wave01_report_caution_summary.csv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Execution checklist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outputs/diagnostics/script13_execution_checklist.csv</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bl>
    <w:p>
      <w:pPr>
        <w:pStyle w:val="Normal"/>
      </w:pPr>
      <w:r>
        <w:t xml:space="preserve"/>
      </w:r>
    </w:p>
    <w:p>
      <w:pPr>
        <w:pStyle w:val="Titre1"/>
      </w:pPr>
      <w:r>
        <w:t xml:space="preserve">14. Methodological notes</w:t>
      </w:r>
    </w:p>
    <w:p>
      <w:pPr>
        <w:pStyle w:val="Normal"/>
      </w:pPr>
      <w:r>
        <w:t xml:space="preserve">- Script 12 creates final reporting tables and cautious narrative interpretation from Script 11 outputs.</w:t>
      </w:r>
    </w:p>
    <w:p>
      <w:pPr>
        <w:pStyle w:val="Normal"/>
      </w:pPr>
      <w:r>
        <w:t xml:space="preserve">- The script reads only aggregate public outputs and does not read individual-level Add Health data.</w:t>
      </w:r>
    </w:p>
    <w:p>
      <w:pPr>
        <w:pStyle w:val="Normal"/>
      </w:pPr>
      <w:r>
        <w:t xml:space="preserve">- The selected models are based on Script 11 technical review, not on manual substantive judgment alone.</w:t>
      </w:r>
    </w:p>
    <w:p>
      <w:pPr>
        <w:pStyle w:val="Normal"/>
      </w:pPr>
      <w:r>
        <w:t xml:space="preserve">- The final reporting model table identifies selected models, reporting status and main technical caution flags.</w:t>
      </w:r>
    </w:p>
    <w:p>
      <w:pPr>
        <w:pStyle w:val="Normal"/>
      </w:pPr>
      <w:r>
        <w:t xml:space="preserve">- The coefficient reporting table separates main reportable coefficients from coefficients requiring review or appendix placement.</w:t>
      </w:r>
    </w:p>
    <w:p>
      <w:pPr>
        <w:pStyle w:val="Normal"/>
      </w:pPr>
      <w:r>
        <w:t xml:space="preserve">- Odds ratios are reported with Wald confidence intervals from Script 10 model outputs.</w:t>
      </w:r>
    </w:p>
    <w:p>
      <w:pPr>
        <w:pStyle w:val="Normal"/>
      </w:pPr>
      <w:r>
        <w:t xml:space="preserve">- Narrative interpretation is deliberately cautious and associational.</w:t>
      </w:r>
    </w:p>
    <w:p>
      <w:pPr>
        <w:pStyle w:val="Normal"/>
      </w:pPr>
      <w:r>
        <w:t xml:space="preserve">- The script does not interpret results as causal effects.</w:t>
      </w:r>
    </w:p>
    <w:p>
      <w:pPr>
        <w:pStyle w:val="Normal"/>
      </w:pPr>
      <w:r>
        <w:t xml:space="preserve">- Models requiring manual review are not treated as final substantive conclusions.</w:t>
      </w:r>
    </w:p>
    <w:p>
      <w:pPr>
        <w:pStyle w:val="Normal"/>
      </w:pPr>
      <w:r>
        <w:t xml:space="preserve">- M0 core-control models are interpreted as conservative baseline models.</w:t>
      </w:r>
    </w:p>
    <w:p>
      <w:pPr>
        <w:pStyle w:val="Normal"/>
      </w:pPr>
      <w:r>
        <w:t xml:space="preserve">- Richer models are reported only when technically defensible.</w:t>
      </w:r>
    </w:p>
    <w:p>
      <w:pPr>
        <w:pStyle w:val="Normal"/>
      </w:pPr>
      <w:r>
        <w:t xml:space="preserve">- Extreme odds ratios and wide confidence intervals are flagged before reporting.</w:t>
      </w:r>
    </w:p>
    <w:p>
      <w:pPr>
        <w:pStyle w:val="Normal"/>
      </w:pPr>
      <w:r>
        <w:t xml:space="preserve">- Possible conceptual overlap between predictors and outcomes is treated as a reporting caution.</w:t>
      </w:r>
    </w:p>
    <w:p>
      <w:pPr>
        <w:pStyle w:val="Normal"/>
      </w:pPr>
      <w:r>
        <w:t xml:space="preserve">- Main-versus-strict sample robustness is summarized separately.</w:t>
      </w:r>
    </w:p>
    <w:p>
      <w:pPr>
        <w:pStyle w:val="Normal"/>
      </w:pPr>
      <w:r>
        <w:t xml:space="preserve">- The caution register should be reviewed before writing the final report.</w:t>
      </w:r>
    </w:p>
    <w:p>
      <w:pPr>
        <w:pStyle w:val="Normal"/>
      </w:pPr>
      <w:r>
        <w:t xml:space="preserve">- No AID-level or individual-level output is exported.</w:t>
      </w:r>
    </w:p>
    <w:p>
      <w:pPr>
        <w:pStyle w:val="Normal"/>
      </w:pPr>
      <w:r>
        <w:t xml:space="preserve">- The outputs are suitable for report drafting, not for automatic publication without review.</w:t>
      </w:r>
    </w:p>
    <w:p>
      <w:pPr>
        <w:pStyle w:val="Normal"/>
      </w:pPr>
      <w:r>
        <w:t xml:space="preserve">- Script 13 should create the final technical report or manuscript-style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2026-07-05T10:10:31Z</dcterms:modified>
  <cp:category/>
</cp:coreProperties>
</file>