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Results Interpretation Report</w:t>
      </w:r>
    </w:p>
    <w:p>
      <w:pPr>
        <w:pStyle w:val="Titre2"/>
      </w:pPr>
      <w:r>
        <w:t xml:space="preserve">Add Health Wave I Public-Use Adolescent Risk Behavior Analysis</w:t>
      </w:r>
    </w:p>
    <w:p>
      <w:pPr>
        <w:pStyle w:val="Normal"/>
      </w:pPr>
      <w:r>
        <w:t xml:space="preserve">Public-facing interpretation report generated from aggregate public outputs only.</w:t>
      </w:r>
    </w:p>
    <w:p>
      <w:pPr>
        <w:pStyle w:val="Titre1"/>
      </w:pPr>
      <w:r>
        <w:t xml:space="preserve">Executive summary</w:t>
      </w:r>
    </w:p>
    <w:p>
      <w:pPr>
        <w:pStyle w:val="Normal"/>
      </w:pPr>
      <w:r>
        <w:t xml:space="preserve">This report presents the public-facing interpretation of the Add Health Wave I adolescent risk behavior analysis. It is designed for readers who need the substantive message of the project, not the full technical pipeline.</w:t>
      </w:r>
    </w:p>
    <w:p>
      <w:pPr>
        <w:pStyle w:val="Normal"/>
      </w:pPr>
      <w:r>
        <w:t xml:space="preserve">The report is explicitly guided by a socioecological interpretation. The original thesis was not limited to individual factors; it considered individual, family, peer, school and psychosocial mechanisms. The Add Health public-use replication preserves this logic while separating stable final results from exploratory evidence.</w:t>
      </w:r>
    </w:p>
    <w:p>
      <w:pPr>
        <w:pStyle w:val="Normal"/>
      </w:pPr>
      <w:r>
        <w:t xml:space="preserve">The central empirical result is conservative: the final public models are M0 models adjusted for age, sex and grade. This does not imply that family, school and peers are irrelevant. It means that the richer socioecological blocks were not sufficiently stable to serve as headline public conclusions in this version.</w:t>
      </w:r>
    </w:p>
    <w:p>
      <w:pPr>
        <w:pStyle w:val="Titre1"/>
      </w:pPr>
      <w:r>
        <w:t xml:space="preserve">Key messages</w:t>
      </w:r>
    </w:p>
    <w:p>
      <w:pPr>
        <w:pStyle w:val="Normal"/>
      </w:pPr>
      <w:r>
        <w:t xml:space="preserve">- The public-facing results support a cautious socioecological reading of adolescent sexual and reproductive-health outcomes.</w:t>
      </w:r>
    </w:p>
    <w:p>
      <w:pPr>
        <w:pStyle w:val="Normal"/>
      </w:pPr>
      <w:r>
        <w:t xml:space="preserve">- The original thesis logic is preserved: adolescent behavior is interpreted through individual, family, peer, school and psychosocial levels.</w:t>
      </w:r>
    </w:p>
    <w:p>
      <w:pPr>
        <w:pStyle w:val="Normal"/>
      </w:pPr>
      <w:r>
        <w:t xml:space="preserve">- The most defensible public models are conservative M0 models adjusted for age, sex and grade.</w:t>
      </w:r>
    </w:p>
    <w:p>
      <w:pPr>
        <w:pStyle w:val="Normal"/>
      </w:pPr>
      <w:r>
        <w:t xml:space="preserve">- The dominance of M0 does not mean that family, school and peers are irrelevant; it means that richer models were not sufficiently stable for headline public conclusions.</w:t>
      </w:r>
    </w:p>
    <w:p>
      <w:pPr>
        <w:pStyle w:val="Normal"/>
      </w:pPr>
      <w:r>
        <w:t xml:space="preserve">- Family, school, peer and psychosocial blocks are reported as exploratory evidence and hypothesis-generating domains.</w:t>
      </w:r>
    </w:p>
    <w:p>
      <w:pPr>
        <w:pStyle w:val="Normal"/>
      </w:pPr>
      <w:r>
        <w:t xml:space="preserve">- Public communication should emphasize stable adjusted associations while preserving the socioecological interpretation.</w:t>
      </w:r>
    </w:p>
    <w:p>
      <w:pPr>
        <w:pStyle w:val="Titre1"/>
      </w:pPr>
      <w:r>
        <w:t xml:space="preserve">Socioecological framework</w:t>
      </w:r>
    </w:p>
    <w:p>
      <w:pPr>
        <w:pStyle w:val="Normal"/>
      </w:pPr>
      <w:r>
        <w:t xml:space="preserve">The interpretation follows a multilevel framework. At the individual level, adolescent development is represented by age, sex and grade. At the family level, support, monitoring and household context are interpreted as potential protective or vulnerability factors. At the peer level, social pressure and relationships are interpreted as mechanisms shaping behavior. At the school level, connection to school and support from adults and peers are treated as contextual resources. At the psychosocial level, attitudes, perceived norms, risk perceptions and self-efficacy are interpreted as mechanisms linking context to intention and behavior.</w:t>
      </w:r>
    </w:p>
    <w:p>
      <w:pPr>
        <w:pStyle w:val="Normal"/>
      </w:pPr>
      <w:r>
        <w:t xml:space="preserve">This structure is consistent with the original thesis logic. The public-use replication, however, is more limited than the thesis dataset. Therefore, the report distinguishes between theory-guided interpretation and statistically stable public reporting.</w:t>
      </w:r>
    </w:p>
    <w:p>
      <w:pPr>
        <w:pStyle w:val="Normal"/>
      </w:pPr>
      <w:r>
        <w:t xml:space="preserve">Table 1 summarizes how the report uses the socioecological framework.</w:t>
      </w:r>
    </w:p>
    <w:tbl xmlns:a="http://schemas.openxmlformats.org/drawingml/2006/main" xmlns:pic="http://schemas.openxmlformats.org/drawingml/2006/picture">
      <w:tblPr>
        <w:tblLayout w:type="fixed"/>
        <w:jc w:val="center"/>
        <w:tblLook w:firstRow="1" w:lastRow="0" w:firstColumn="0" w:lastColumn="0" w:noHBand="0" w:noVBand="1"/>
      </w:tblPr>
      <w:tblGrid>
        <w:gridCol w:w="2430"/>
        <w:gridCol w:w="8708"/>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Interpretation in this report</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Individual demographic level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sex and grade are treated as developmental and demographic markers.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Psychosocial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attitudes, perceived risk, subjective norms and self-efficacy are interpreted as psychosocial mechanisms.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and household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support, monitoring and household context are interpreted as interpersonal protective or vulnerability factors.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Peer and relationship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Peers and relationships are interpreted as sources of social pressure, norms and support.</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School connection and climate are interpreted as contextual protective or vulnerability factors.</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Health outcome level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 contraception/protection, pregnancy and STI-related indicators are interpreted as outcomes.</w:t>
            </w:r>
          </w:p>
        </w:tc>
      </w:tr>
    </w:tbl>
    <w:p>
      <w:pPr>
        <w:pStyle w:val="Titre1"/>
      </w:pPr>
      <w:r>
        <w:t xml:space="preserve">Data and analytical approach</w:t>
      </w:r>
    </w:p>
    <w:p>
      <w:pPr>
        <w:pStyle w:val="Normal"/>
      </w:pPr>
      <w:r>
        <w:t xml:space="preserve">The analysis uses Add Health Wave I public-use data. The main analytical sample includes students in grades 10 to 12. A sensitivity sample restricts the analysis further to students in grades 10 to 12 and ages 15 to 19.</w:t>
      </w:r>
    </w:p>
    <w:p>
      <w:pPr>
        <w:pStyle w:val="Normal"/>
      </w:pPr>
      <w:r>
        <w:t xml:space="preserve">Weighted logistic regression models were reviewed before public interpretation. The review considered sample size, outcome-cell size, extreme odds ratios, wide confidence intervals, possible conceptual overlap and main-versus-sensitivity consistency.</w:t>
      </w:r>
    </w:p>
    <w:p>
      <w:pPr>
        <w:pStyle w:val="Normal"/>
      </w:pPr>
      <w:r>
        <w:t xml:space="preserve">The public reporting rule is conservative. Stable final results are reported directly. Family, school, peer and psychosocial blocks are described as exploratory when diagnostics do not support strong public claims.</w:t>
      </w:r>
    </w:p>
    <w:p>
      <w:pPr>
        <w:pStyle w:val="Titre1"/>
      </w:pPr>
      <w:r>
        <w:t xml:space="preserve">How to read the results</w:t>
      </w:r>
    </w:p>
    <w:p>
      <w:pPr>
        <w:pStyle w:val="Normal"/>
      </w:pPr>
      <w:r>
        <w:t xml:space="preserve">Odds ratios above 1 indicate higher odds of the outcome. Odds ratios below 1 indicate lower odds of the outcome. Confidence intervals describe statistical uncertainty.</w:t>
      </w:r>
    </w:p>
    <w:p>
      <w:pPr>
        <w:pStyle w:val="Normal"/>
      </w:pPr>
      <w:r>
        <w:t xml:space="preserve">Because the analysis is observational and based on public-use data, the report does not use causal language. It does not claim that age, grade, family, peers or school cause the outcomes.</w:t>
      </w:r>
    </w:p>
    <w:p>
      <w:pPr>
        <w:pStyle w:val="Normal"/>
      </w:pPr>
      <w:r>
        <w:t xml:space="preserve">When the report says that a domain is exploratory, this means that the domain is theoretically important but was not sufficiently stable in this public-use modeling exercise to support a headline empirical conclusion.</w:t>
      </w:r>
    </w:p>
    <w:p>
      <w:pPr>
        <w:pStyle w:val="Titre1"/>
      </w:pPr>
      <w:r>
        <w:t xml:space="preserve">Final public results</w:t>
      </w:r>
    </w:p>
    <w:p>
      <w:pPr>
        <w:pStyle w:val="Normal"/>
      </w:pPr>
      <w:r>
        <w:t xml:space="preserve">The final public results are presented separately for the main sample and the sensitivity sample. Only coefficients prioritized for cautious public interpretation are shown. The results should be read as adjusted associations, not as causal effects.</w:t>
      </w:r>
    </w:p>
    <w:p>
      <w:pPr>
        <w:pStyle w:val="Titre2"/>
      </w:pPr>
      <w:r>
        <w:t xml:space="preserve">Main sample</w:t>
      </w:r>
    </w:p>
    <w:tbl xmlns:a="http://schemas.openxmlformats.org/drawingml/2006/main" xmlns:pic="http://schemas.openxmlformats.org/drawingml/2006/picture">
      <w:tblPr>
        <w:tblLayout w:type="fixed"/>
        <w:jc w:val="center"/>
        <w:tblLook w:firstRow="1" w:lastRow="0" w:firstColumn="0" w:lastColumn="0" w:noHBand="0" w:noVBand="1"/>
      </w:tblPr>
      <w:tblGrid>
        <w:gridCol w:w="3239"/>
        <w:gridCol w:w="2918"/>
        <w:gridCol w:w="2190"/>
        <w:gridCol w:w="722"/>
        <w:gridCol w:w="1416"/>
        <w:gridCol w:w="904"/>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95 percent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most recent 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 0.98]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a condom during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and reproductive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been pregnant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testing or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chlamydia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11th grade vs 10th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12th grade vs 10th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 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bl>
    <w:p>
      <w:pPr>
        <w:pStyle w:val="Titre2"/>
      </w:pPr>
      <w:r>
        <w:t xml:space="preserve">Sensitivity sample</w:t>
      </w:r>
    </w:p>
    <w:tbl xmlns:a="http://schemas.openxmlformats.org/drawingml/2006/main" xmlns:pic="http://schemas.openxmlformats.org/drawingml/2006/picture">
      <w:tblPr>
        <w:tblLayout w:type="fixed"/>
        <w:jc w:val="center"/>
        <w:tblLook w:firstRow="1" w:lastRow="0" w:firstColumn="0" w:lastColumn="0" w:noHBand="0" w:noVBand="1"/>
      </w:tblPr>
      <w:tblGrid>
        <w:gridCol w:w="3239"/>
        <w:gridCol w:w="2661"/>
        <w:gridCol w:w="2190"/>
        <w:gridCol w:w="722"/>
        <w:gridCol w:w="1416"/>
        <w:gridCol w:w="904"/>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95 percent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a condom during 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1.94]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and reproductive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been pregnant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 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testing or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11th grade vs 10th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12th grade vs 10th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 1.53]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bl>
    <w:p>
      <w:pPr>
        <w:pStyle w:val="Titre1"/>
      </w:pPr>
      <w:r>
        <w:t xml:space="preserve">Interpretation by outcome domain</w:t>
      </w:r>
    </w:p>
    <w:p>
      <w:pPr>
        <w:pStyle w:val="Titre2"/>
      </w:pPr>
      <w:r>
        <w:t xml:space="preserve">Sexual initiation</w:t>
      </w:r>
    </w:p>
    <w:p>
      <w:pPr>
        <w:pStyle w:val="Normal"/>
      </w:pPr>
      <w:r>
        <w:t xml:space="preserve">Sexual initiation is the clearest final domain. Age and grade appear as developmental markers associated with higher odds of having ever had sexual intercourse.</w:t>
      </w:r>
    </w:p>
    <w:p>
      <w:pPr>
        <w:pStyle w:val="Normal"/>
      </w:pPr>
      <w:r>
        <w:t xml:space="preserve">Main sample evidence: Age was associated with higher odds of Sexual initiation (OR = 1.33, 95 percent CI [1.19; 1.50], p &lt; 0.001).</w:t>
      </w:r>
    </w:p>
    <w:p>
      <w:pPr>
        <w:pStyle w:val="Normal"/>
      </w:pPr>
      <w:r>
        <w:t xml:space="preserve">Sensitivity sample evidence: Age was associated with higher odds of Sexual initiation (OR = 1.35, 95 percent CI [1.20; 1.53], p &lt; 0.001).</w:t>
      </w:r>
    </w:p>
    <w:p>
      <w:pPr>
        <w:pStyle w:val="Normal"/>
      </w:pPr>
      <w:r>
        <w:t xml:space="preserve">This result should be interpreted as developmental patterning, not as causal evidence. It is consistent with the broader socioecological view that individual development interacts with family, school, peers and norms.</w:t>
      </w:r>
    </w:p>
    <w:p>
      <w:pPr>
        <w:pStyle w:val="Titre2"/>
      </w:pPr>
      <w:r>
        <w:t xml:space="preserve">Contraception and protection</w:t>
      </w:r>
    </w:p>
    <w:p>
      <w:pPr>
        <w:pStyle w:val="Normal"/>
      </w:pPr>
      <w:r>
        <w:t xml:space="preserve">The contraception and protection domain is more heterogeneous. Condom use, birth control at first sex, birth control at most recent sex and birth-control pill use are related but not identical outcomes.</w:t>
      </w:r>
    </w:p>
    <w:p>
      <w:pPr>
        <w:pStyle w:val="Normal"/>
      </w:pPr>
      <w:r>
        <w:t xml:space="preserve">Main sample evidence: Age was associated with lower odds of Birth control use at most recent sex (OR = 0.84, 95 percent CI [0.72; 0.98], p = 0.031). Age was associated with higher odds of Ever used a condom during sex (OR = 1.36, 95 percent CI [1.00; 1.85], p = 0.050).</w:t>
      </w:r>
    </w:p>
    <w:p>
      <w:pPr>
        <w:pStyle w:val="Normal"/>
      </w:pPr>
      <w:r>
        <w:t xml:space="preserve">Sensitivity sample evidence: Age was associated with higher odds of Ever used a condom during sex (OR = 1.40, 95 percent CI [1.02; 1.94], p = 0.041).</w:t>
      </w:r>
    </w:p>
    <w:p>
      <w:pPr>
        <w:pStyle w:val="Normal"/>
      </w:pPr>
      <w:r>
        <w:t xml:space="preserve">The correct public message is therefore not that protection behavior has one simple determinant. The evidence supports outcome-specific interpretation.</w:t>
      </w:r>
    </w:p>
    <w:p>
      <w:pPr>
        <w:pStyle w:val="Titre2"/>
      </w:pPr>
      <w:r>
        <w:t xml:space="preserve">Pregnancy and reproductive experience</w:t>
      </w:r>
    </w:p>
    <w:p>
      <w:pPr>
        <w:pStyle w:val="Normal"/>
      </w:pPr>
      <w:r>
        <w:t xml:space="preserve">Pregnancy history shows a strong age pattern among eligible respondents. This domain must be interpreted with particular attention to eligibility and skip patterns.</w:t>
      </w:r>
    </w:p>
    <w:p>
      <w:pPr>
        <w:pStyle w:val="Normal"/>
      </w:pPr>
      <w:r>
        <w:t xml:space="preserve">Main sample evidence: Age was associated with higher odds of Ever been pregnant (OR = 1.95, 95 percent CI [1.45; 2.62], p &lt; 0.001).</w:t>
      </w:r>
    </w:p>
    <w:p>
      <w:pPr>
        <w:pStyle w:val="Normal"/>
      </w:pPr>
      <w:r>
        <w:t xml:space="preserve">Sensitivity sample evidence: Age was associated with higher odds of Ever been pregnant (OR = 1.85, 95 percent CI [1.36; 2.52], p &lt; 0.001).</w:t>
      </w:r>
    </w:p>
    <w:p>
      <w:pPr>
        <w:pStyle w:val="Normal"/>
      </w:pPr>
      <w:r>
        <w:t xml:space="preserve">The result should be interpreted as descriptive age-patterning among respondents for whom the item is applicable, not as a general causal estimate for all adolescents.</w:t>
      </w:r>
    </w:p>
    <w:p>
      <w:pPr>
        <w:pStyle w:val="Titre2"/>
      </w:pPr>
      <w:r>
        <w:t xml:space="preserve">STI-related outcomes</w:t>
      </w:r>
    </w:p>
    <w:p>
      <w:pPr>
        <w:pStyle w:val="Normal"/>
      </w:pPr>
      <w:r>
        <w:t xml:space="preserve">The STI-related domain requires the most caution. Some outcomes refer to self-reported diagnosis, whereas STD testing or treatment may reflect contact with sexual-health services rather than confirmed infection.</w:t>
      </w:r>
    </w:p>
    <w:p>
      <w:pPr>
        <w:pStyle w:val="Normal"/>
      </w:pPr>
      <w:r>
        <w:t xml:space="preserve">Main sample evidence: Age was associated with higher odds of Self-reported chlamydia diagnosis (OR = 1.58, 95 percent CI [1.06; 2.35], p = 0.024). Age was associated with higher odds of STD testing or treatment (OR = 1.61, 95 percent CI [1.30; 1.98], p &lt; 0.001).</w:t>
      </w:r>
    </w:p>
    <w:p>
      <w:pPr>
        <w:pStyle w:val="Normal"/>
      </w:pPr>
      <w:r>
        <w:t xml:space="preserve">Sensitivity sample evidence: Age was associated with higher odds of STD testing or treatment (OR = 1.63, 95 percent CI [1.29; 2.05], p &lt; 0.001).</w:t>
      </w:r>
    </w:p>
    <w:p>
      <w:pPr>
        <w:pStyle w:val="Normal"/>
      </w:pPr>
      <w:r>
        <w:t xml:space="preserve">Self-reported gonorrhea should not be used as a headline finding because the outcome is rare and imprecise.</w:t>
      </w:r>
    </w:p>
    <w:p>
      <w:pPr>
        <w:pStyle w:val="Titre1"/>
      </w:pPr>
      <w:r>
        <w:t xml:space="preserve">Exploratory socioecological evidence</w:t>
      </w:r>
    </w:p>
    <w:p>
      <w:pPr>
        <w:pStyle w:val="Normal"/>
      </w:pPr>
      <w:r>
        <w:t xml:space="preserve">The exploratory socioecological blocks are essential for interpretation. They include family and household context, school context, knowledge and attitudes, peers and relationships, and general risk behaviors.</w:t>
      </w:r>
    </w:p>
    <w:p>
      <w:pPr>
        <w:pStyle w:val="Normal"/>
      </w:pPr>
      <w:r>
        <w:t xml:space="preserve">These blocks were analyzed because they correspond to the thesis framework. However, several richer models showed instability, review flags, wide intervals or extreme odds ratios. For that reason, they are not presented as final public conclusions.</w:t>
      </w:r>
    </w:p>
    <w:p>
      <w:pPr>
        <w:pStyle w:val="Normal"/>
      </w:pPr>
      <w:r>
        <w:t xml:space="preserve">This should not be read as evidence that family, school or peers have no influence. It means that the present public-use replication does not provide sufficiently stable estimates to make strong claims about those levels.</w:t>
      </w:r>
    </w:p>
    <w:p>
      <w:pPr>
        <w:pStyle w:val="Normal"/>
      </w:pPr>
      <w:r>
        <w:t xml:space="preserve">Table 4 summarizes the exploratory socioecological blocks in the main sample. These results are used to preserve the theoretical interpretation of the thesis, but they are not treated as final public conclusions.</w:t>
      </w:r>
    </w:p>
    <w:tbl xmlns:a="http://schemas.openxmlformats.org/drawingml/2006/main" xmlns:pic="http://schemas.openxmlformats.org/drawingml/2006/picture">
      <w:tblPr>
        <w:tblLayout w:type="fixed"/>
        <w:jc w:val="center"/>
        <w:tblLook w:firstRow="1" w:lastRow="0" w:firstColumn="0" w:lastColumn="0" w:noHBand="0" w:noVBand="1"/>
      </w:tblPr>
      <w:tblGrid>
        <w:gridCol w:w="2169"/>
        <w:gridCol w:w="2995"/>
        <w:gridCol w:w="1274"/>
        <w:gridCol w:w="2146"/>
        <w:gridCol w:w="1725"/>
        <w:gridCol w:w="2013"/>
        <w:gridCol w:w="5578"/>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Socioecological 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Model block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Models fitted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Technically stable models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Usable with caution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Review before reporting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Interpretive decision</w:t>
            </w:r>
          </w:p>
        </w:tc>
      </w:tr>
      <w:tr>
        <w:trPr>
          <w:trHeight w:val="5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Family and household level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M1: family and household context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Exploratory only; not promoted to public conclusion because review flags dominate.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School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M2: school context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Exploratory; may inform hypotheses but requires caution.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Psychosocial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M3: knowledge, attitudes and perceptions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Exploratory only; not promoted to public conclusion because review flags dominate.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Peer and relationship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M4: peers and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Exploratory; may inform hypotheses but requires caution.</w:t>
            </w:r>
          </w:p>
        </w:tc>
      </w:tr>
      <w:tr>
        <w:trPr>
          <w:trHeight w:val="5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Individual risk-behavior level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M5: general risk behaviors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Not interpreted because no model was fitted.</w:t>
            </w:r>
          </w:p>
        </w:tc>
      </w:tr>
    </w:tbl>
    <w:p>
      <w:pPr>
        <w:pStyle w:val="Titre1"/>
      </w:pPr>
      <w:r>
        <w:t xml:space="preserve">Results requiring caution</w:t>
      </w:r>
    </w:p>
    <w:p>
      <w:pPr>
        <w:pStyle w:val="Normal"/>
      </w:pPr>
      <w:r>
        <w:t xml:space="preserve">Detailed caution results are retained in the Excel workbook and CSV outputs. The public report presents only a summary, because the full caution table is technical and too long for the main text.</w:t>
      </w:r>
    </w:p>
    <w:p>
      <w:pPr>
        <w:pStyle w:val="Titre2"/>
      </w:pPr>
      <w:r>
        <w:t xml:space="preserve">Main sample caution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3239"/>
        <w:gridCol w:w="2918"/>
        <w:gridCol w:w="4742"/>
        <w:gridCol w:w="2242"/>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Issue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Number of caution flags</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first 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most recent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a condom during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birth-control pills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and reproductive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been pregnant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testing or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chlamydia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gonorrhea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gonorrhea diagnosis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 requires manual review before public interpretation.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bl>
    <w:p>
      <w:pPr>
        <w:pStyle w:val="Titre2"/>
      </w:pPr>
      <w:r>
        <w:t xml:space="preserve">Sensitivity sample caution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3239"/>
        <w:gridCol w:w="2918"/>
        <w:gridCol w:w="4742"/>
        <w:gridCol w:w="2242"/>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Issue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Number of caution flags</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first 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most recent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a condom during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birth-control pills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and reproductive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been pregnant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testing or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chlamydia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gonorrhea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Coefficient requires review or appendix placement.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gonorrhea diagnosis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 requires manual review before public interpretation.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bl>
    <w:p>
      <w:pPr>
        <w:pStyle w:val="Titre1"/>
      </w:pPr>
      <w:r>
        <w:t xml:space="preserve">Robustness of conservative models</w:t>
      </w:r>
    </w:p>
    <w:p>
      <w:pPr>
        <w:pStyle w:val="Normal"/>
      </w:pPr>
      <w:r>
        <w:t xml:space="preserve">Robustness was assessed by comparing the main grades 10-12 sample with the stricter grades 10-12 and ages 15-19 sensitivity sample. The report gives more weight to patterns that remain directionally consistent across samples.</w:t>
      </w:r>
    </w:p>
    <w:tbl xmlns:a="http://schemas.openxmlformats.org/drawingml/2006/main" xmlns:pic="http://schemas.openxmlformats.org/drawingml/2006/picture">
      <w:tblPr>
        <w:tblLayout w:type="fixed"/>
        <w:jc w:val="center"/>
        <w:tblLook w:firstRow="1" w:lastRow="0" w:firstColumn="0" w:lastColumn="0" w:noHBand="0" w:noVBand="1"/>
      </w:tblPr>
      <w:tblGrid>
        <w:gridCol w:w="3239"/>
        <w:gridCol w:w="2918"/>
        <w:gridCol w:w="2180"/>
        <w:gridCol w:w="2687"/>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Domain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Same direction percent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Robustness summary</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first 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Birth control use at most recent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a condom during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Contraception and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used birth-control pills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and reproductive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Ever been pregnant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testing or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chlamydia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directional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STI-related outcomes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Self-reported gonorrhea diagnosis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Sexual initiation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directional robustness</w:t>
            </w:r>
          </w:p>
        </w:tc>
      </w:tr>
    </w:tbl>
    <w:p>
      <w:pPr>
        <w:pStyle w:val="Titre1"/>
      </w:pPr>
      <w:r>
        <w:t xml:space="preserve">Implications</w:t>
      </w:r>
    </w:p>
    <w:p>
      <w:pPr>
        <w:pStyle w:val="Normal"/>
      </w:pPr>
      <w:r>
        <w:t xml:space="preserve">- Present the final models as conservative adjusted associations, not as causal evidence.</w:t>
      </w:r>
    </w:p>
    <w:p>
      <w:pPr>
        <w:pStyle w:val="Normal"/>
      </w:pPr>
      <w:r>
        <w:t xml:space="preserve">- Maintain the socioecological framework as the organizing theory of the project.</w:t>
      </w:r>
    </w:p>
    <w:p>
      <w:pPr>
        <w:pStyle w:val="Normal"/>
      </w:pPr>
      <w:r>
        <w:t xml:space="preserve">- Do not infer that family or school have no role; instead, report that their empirical evidence remains exploratory in this public-use replication.</w:t>
      </w:r>
    </w:p>
    <w:p>
      <w:pPr>
        <w:pStyle w:val="Normal"/>
      </w:pPr>
      <w:r>
        <w:t xml:space="preserve">- Peer norms, attitudes, self-efficacy and perceived control should remain central to future model refinement.</w:t>
      </w:r>
    </w:p>
    <w:p>
      <w:pPr>
        <w:pStyle w:val="Normal"/>
      </w:pPr>
      <w:r>
        <w:t xml:space="preserve">- Future work can refine constructs, pool rare outcomes or test alternative models to better estimate multilevel pathways.</w:t>
      </w:r>
    </w:p>
    <w:p>
      <w:pPr>
        <w:pStyle w:val="Titre1"/>
      </w:pPr>
      <w:r>
        <w:t xml:space="preserve">Limitations</w:t>
      </w:r>
    </w:p>
    <w:p>
      <w:pPr>
        <w:pStyle w:val="Normal"/>
      </w:pPr>
      <w:r>
        <w:t xml:space="preserve">- The public-facing final models are conservative and mainly demographic.</w:t>
      </w:r>
    </w:p>
    <w:p>
      <w:pPr>
        <w:pStyle w:val="Normal"/>
      </w:pPr>
      <w:r>
        <w:t xml:space="preserve">- The Add Health public-use replication cannot reproduce the full structure of the original thesis dataset.</w:t>
      </w:r>
    </w:p>
    <w:p>
      <w:pPr>
        <w:pStyle w:val="Normal"/>
      </w:pPr>
      <w:r>
        <w:t xml:space="preserve">- Family, school, peer and psychosocial blocks were analyzed but not promoted to headline findings when model diagnostics were unstable.</w:t>
      </w:r>
    </w:p>
    <w:p>
      <w:pPr>
        <w:pStyle w:val="Normal"/>
      </w:pPr>
      <w:r>
        <w:t xml:space="preserve">- Some outcomes depend on skip patterns and eligibility rules.</w:t>
      </w:r>
    </w:p>
    <w:p>
      <w:pPr>
        <w:pStyle w:val="Normal"/>
      </w:pPr>
      <w:r>
        <w:t xml:space="preserve">- Some STI-related outcomes are rare and require cautious interpretation.</w:t>
      </w:r>
    </w:p>
    <w:p>
      <w:pPr>
        <w:pStyle w:val="Normal"/>
      </w:pPr>
      <w:r>
        <w:t xml:space="preserve">- All results are associational and should not be interpreted as causal effects.</w:t>
      </w:r>
    </w:p>
    <w:p>
      <w:pPr>
        <w:pStyle w:val="Titre1"/>
      </w:pPr>
      <w:r>
        <w:t xml:space="preserve">Conclusion</w:t>
      </w:r>
    </w:p>
    <w:p>
      <w:pPr>
        <w:pStyle w:val="Normal"/>
      </w:pPr>
      <w:r>
        <w:t xml:space="preserve">The public conclusion is socioecological and conservative. The most stable empirical results are concentrated in individual developmental markers, especially age and grade. At the same time, the theoretical interpretation remains multilevel: family, school, peers and psychosocial mechanisms remain central to understanding adolescent sexual and reproductive-health behavior.</w:t>
      </w:r>
    </w:p>
    <w:p>
      <w:pPr>
        <w:pStyle w:val="Normal"/>
      </w:pPr>
      <w:r>
        <w:t xml:space="preserve">The Add Health public-use replication therefore provides a transparent and ethically safer way to reproduce the broad analytical logic of the thesis, while avoiding publication of sensitive individual-level thesis data.</w:t>
      </w:r>
    </w:p>
    <w:p>
      <w:pPr>
        <w:pStyle w:val="Normal"/>
      </w:pPr>
      <w:r>
        <w:t xml:space="preserve">Future work should refine the family, school, peer and psychosocial constructs, examine alternative model specifications, and treat the exploratory findings as hypotheses rather than final causal conclusions.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2026-07-06T07:14:28Z</dcterms:modified>
  <cp:category/>
</cp:coreProperties>
</file>