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Relatório Interpretativo dos Resultados</w:t>
      </w:r>
    </w:p>
    <w:p>
      <w:pPr>
        <w:pStyle w:val="Titre2"/>
      </w:pPr>
      <w:r>
        <w:t xml:space="preserve">Análise de Comportamentos de Risco na Adolescência com Dados Públicos do Add Health Wave I</w:t>
      </w:r>
    </w:p>
    <w:p>
      <w:pPr>
        <w:pStyle w:val="Normal"/>
      </w:pPr>
      <w:r>
        <w:t xml:space="preserve">Relatório público interpretativo gerado apenas a partir de outputs agregados.</w:t>
      </w:r>
    </w:p>
    <w:p>
      <w:pPr>
        <w:pStyle w:val="Titre1"/>
      </w:pPr>
      <w:r>
        <w:t xml:space="preserve">Sumário executivo</w:t>
      </w:r>
    </w:p>
    <w:p>
      <w:pPr>
        <w:pStyle w:val="Normal"/>
      </w:pPr>
      <w:r>
        <w:t xml:space="preserve">Este relatório apresenta a interpretação pública dos resultados da análise de comportamentos de risco na adolescência com dados públicos do Add Health Wave I. O documento foi preparado para leitores interessados na mensagem substantiva do projeto, e não apenas no pipeline técnico.</w:t>
      </w:r>
    </w:p>
    <w:p>
      <w:pPr>
        <w:pStyle w:val="Normal"/>
      </w:pPr>
      <w:r>
        <w:t xml:space="preserve">A interpretação é explicitamente orientada pelo modelo socioecológico. A lógica da tese original não se limitava a fatores individuais; incluía mecanismos individuais, familiares, escolares, de pares e psicossociais. A réplica com dados públicos preserva essa lógica, separando resultados finais estáveis de evidência exploratória.</w:t>
      </w:r>
    </w:p>
    <w:p>
      <w:pPr>
        <w:pStyle w:val="Normal"/>
      </w:pPr>
      <w:r>
        <w:t xml:space="preserve">O resultado empírico central é conservador: os modelos públicos finais são modelos M0 ajustados por idade, sexo e classe escolar. Isso não significa que família, escola e pares sejam irrelevantes. Significa que os blocos socioecológicos mais ricos não tiveram estabilidade suficiente para serem apresentados como conclusões públicas principais nesta versão.</w:t>
      </w:r>
    </w:p>
    <w:p>
      <w:pPr>
        <w:pStyle w:val="Titre1"/>
      </w:pPr>
      <w:r>
        <w:t xml:space="preserve">Mensagens-chave</w:t>
      </w:r>
    </w:p>
    <w:p>
      <w:pPr>
        <w:pStyle w:val="Normal"/>
      </w:pPr>
      <w:r>
        <w:t xml:space="preserve">- Os resultados públicos sustentam uma leitura socioecológica cautelosa dos comportamentos de saúde sexual e reprodutiva na adolescência.</w:t>
      </w:r>
    </w:p>
    <w:p>
      <w:pPr>
        <w:pStyle w:val="Normal"/>
      </w:pPr>
      <w:r>
        <w:t xml:space="preserve">- A lógica da tese original é preservada: o comportamento adolescente é interpretado através de níveis individuais, familiares, escolares, de pares e psicossociais.</w:t>
      </w:r>
    </w:p>
    <w:p>
      <w:pPr>
        <w:pStyle w:val="Normal"/>
      </w:pPr>
      <w:r>
        <w:t xml:space="preserve">- Os modelos públicos mais defensáveis são modelos conservadores M0, ajustados por idade, sexo e classe escolar.</w:t>
      </w:r>
    </w:p>
    <w:p>
      <w:pPr>
        <w:pStyle w:val="Normal"/>
      </w:pPr>
      <w:r>
        <w:t xml:space="preserve">- A predominância do M0 não significa que família, escola e pares sejam irrelevantes; significa que os modelos mais ricos não foram suficientemente estáveis para conclusões públicas principais.</w:t>
      </w:r>
    </w:p>
    <w:p>
      <w:pPr>
        <w:pStyle w:val="Normal"/>
      </w:pPr>
      <w:r>
        <w:t xml:space="preserve">- Os blocos familiar, escolar, de pares e psicossociais são apresentados como evidência exploratória e geradora de hipóteses.</w:t>
      </w:r>
    </w:p>
    <w:p>
      <w:pPr>
        <w:pStyle w:val="Normal"/>
      </w:pPr>
      <w:r>
        <w:t xml:space="preserve">- A comunicação pública deve enfatizar associações ajustadas estáveis, preservando a interpretação socioecológica.</w:t>
      </w:r>
    </w:p>
    <w:p>
      <w:pPr>
        <w:pStyle w:val="Titre1"/>
      </w:pPr>
      <w:r>
        <w:t xml:space="preserve">Enquadramento socioecológico</w:t>
      </w:r>
    </w:p>
    <w:p>
      <w:pPr>
        <w:pStyle w:val="Normal"/>
      </w:pPr>
      <w:r>
        <w:t xml:space="preserve">A interpretação segue uma estrutura multinível. No nível individual, o desenvolvimento adolescente é representado por idade, sexo e classe escolar. No nível familiar, apoio, monitoria e contexto doméstico são interpretados como potenciais fatores de proteção ou vulnerabilidade. No nível dos pares, relações e pressão social são entendidas como mecanismos que moldam normas e comportamentos. No nível escolar, a ligação à escola e o apoio institucional são tratados como recursos contextuais. No nível psicossocial, atitudes, normas subjetivas, perceções de risco e autoeficácia são interpretadas como mecanismos que ligam contexto, intenção e comportamento.</w:t>
      </w:r>
    </w:p>
    <w:p>
      <w:pPr>
        <w:pStyle w:val="Normal"/>
      </w:pPr>
      <w:r>
        <w:t xml:space="preserve">Esta estrutura é coerente com a lógica da tese original. Contudo, a réplica com dados públicos é mais limitada do que a base da tese. Por isso, o relatório distingue interpretação orientada pela teoria de resultados públicos estatisticamente estáveis.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554"/>
        <w:gridCol w:w="9820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Nível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Interpretação no relatório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individual demográfico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Idade, sexo e classe escolar são tratados como marcadores demográficos e de desenvolvimento.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psicossocial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Conhecimentos, atitudes, perceções de risco, normas subjetivas e autoeficácia são interpretados como mecanismos psicossociais.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familiar e doméstico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Apoio familiar, monitoria parental e contexto doméstico são interpretados como fatores interpessoais de proteção ou vulnerabilidade.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dos pares e relações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Pares e relações são interpretados como fontes de pressão social, normas e suporte.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escolar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Ligação à escola e clima escolar são interpretados como recursos contextuais de proteção ou vulnerabilidade.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Nível dos desfechos de saúde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sexual, contraceção/proteção, gravidez e indicadores de IST são tratados como desfechos.</w:t>
            </w:r>
          </w:p>
        </w:tc>
      </w:tr>
    </w:tbl>
    <w:p>
      <w:pPr>
        <w:pStyle w:val="Titre1"/>
      </w:pPr>
      <w:r>
        <w:t xml:space="preserve">Dados e abordagem analítica</w:t>
      </w:r>
    </w:p>
    <w:p>
      <w:pPr>
        <w:pStyle w:val="Normal"/>
      </w:pPr>
      <w:r>
        <w:t xml:space="preserve">A análise utiliza dados públicos do Add Health Wave I. A amostra principal inclui estudantes da 10.ª à 12.ª classe. A amostra de sensibilidade restringe adicionalmente a análise a estudantes da 10.ª à 12.ª classe com idades entre 15 e 19 anos.</w:t>
      </w:r>
    </w:p>
    <w:p>
      <w:pPr>
        <w:pStyle w:val="Normal"/>
      </w:pPr>
      <w:r>
        <w:t xml:space="preserve">Os modelos logísticos ponderados foram revistos antes da interpretação pública. A revisão considerou dimensão da amostra, tamanho das células do desfecho, odds ratios extremos, intervalos de confiança largos, possível sobreposição conceptual e consistência entre a amostra principal e a amostra de sensibilidade.</w:t>
      </w:r>
    </w:p>
    <w:p>
      <w:pPr>
        <w:pStyle w:val="Normal"/>
      </w:pPr>
      <w:r>
        <w:t xml:space="preserve">A regra de reporte público é conservadora. Resultados finais estáveis são reportados diretamente. Blocos familiares, escolares, de pares e psicossociais são descritos como exploratórios quando os diagnósticos não sustentam conclusões públicas fortes.</w:t>
      </w:r>
    </w:p>
    <w:p>
      <w:pPr>
        <w:pStyle w:val="Titre1"/>
      </w:pPr>
      <w:r>
        <w:t xml:space="preserve">Como ler os resultados</w:t>
      </w:r>
    </w:p>
    <w:p>
      <w:pPr>
        <w:pStyle w:val="Normal"/>
      </w:pPr>
      <w:r>
        <w:t xml:space="preserve">Odds ratios acima de 1 indicam maiores chances do desfecho. Odds ratios abaixo de 1 indicam menores chances do desfecho. Os intervalos de confiança representam a incerteza estatística.</w:t>
      </w:r>
    </w:p>
    <w:p>
      <w:pPr>
        <w:pStyle w:val="Normal"/>
      </w:pPr>
      <w:r>
        <w:t xml:space="preserve">Como a análise é observacional e baseada em dados públicos, o relatório evita linguagem causal. O relatório não afirma que idade, classe, família, pares ou escola causam os desfechos.</w:t>
      </w:r>
    </w:p>
    <w:p>
      <w:pPr>
        <w:pStyle w:val="Normal"/>
      </w:pPr>
      <w:r>
        <w:t xml:space="preserve">Quando um domínio é descrito como exploratório, isso significa que ele é teoricamente importante, mas que os modelos desta réplica pública não foram suficientemente estáveis para sustentar uma conclusão empírica principal.</w:t>
      </w:r>
    </w:p>
    <w:p>
      <w:pPr>
        <w:pStyle w:val="Titre1"/>
      </w:pPr>
      <w:r>
        <w:t xml:space="preserve">Resultados públicos finais</w:t>
      </w:r>
    </w:p>
    <w:p>
      <w:pPr>
        <w:pStyle w:val="Normal"/>
      </w:pPr>
      <w:r>
        <w:t xml:space="preserve">Os resultados são apresentados separadamente para a amostra principal e a amostra de sensibilidade. Apenas coeficientes priorizados para interpretação pública cautelosa são apresentados. Os resultados devem ser lidos como associações ajustadas, não como efeitos causais.</w:t>
      </w:r>
    </w:p>
    <w:p>
      <w:pPr>
        <w:pStyle w:val="Titre2"/>
      </w:pPr>
      <w:r>
        <w:t xml:space="preserve">Amostra principal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2"/>
        <w:gridCol w:w="4093"/>
        <w:gridCol w:w="2219"/>
        <w:gridCol w:w="722"/>
        <w:gridCol w:w="1211"/>
        <w:gridCol w:w="904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Domínio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Desfecho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IC 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relação sexual mais recente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[0.72; 0.98]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0,031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preservativo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[1.00; 1.85]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0,050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e experiência reprodutiva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[1.45; 2.62]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Teste ou tratamento de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[1.30; 1.98]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clamídia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[1.06; 2.35]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0,024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11.ª classe vs 10.ª classe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[1.06;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0,012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12.ª classe vs 10.ª classe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[1.12; 1.99]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0,007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[1.19; 1.50]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</w:tbl>
    <w:p>
      <w:pPr>
        <w:pStyle w:val="Titre2"/>
      </w:pPr>
      <w:r>
        <w:t xml:space="preserve">Amostra de sensibilidade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2"/>
        <w:gridCol w:w="2696"/>
        <w:gridCol w:w="2219"/>
        <w:gridCol w:w="722"/>
        <w:gridCol w:w="1211"/>
        <w:gridCol w:w="904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Domínio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Desfecho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Preditor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IC 95%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p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preservativo alguma vez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[1.02; 1.94]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0,041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e experiência reprodutiva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[1.36; 2.52]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Teste ou tratamento de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[1.29; 2.05]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11.ª classe vs 10.ª classe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[1.05; 1.63]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0,015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12.ª classe vs 10.ª classe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[1.10; 1.98]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0,009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Idade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1.35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[1.20; 1.53]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&lt;0,001</w:t>
            </w:r>
          </w:p>
        </w:tc>
      </w:tr>
    </w:tbl>
    <w:p>
      <w:pPr>
        <w:pStyle w:val="Titre1"/>
      </w:pPr>
      <w:r>
        <w:t xml:space="preserve">Interpretação por domínio</w:t>
      </w:r>
    </w:p>
    <w:p>
      <w:pPr>
        <w:pStyle w:val="Titre2"/>
      </w:pPr>
      <w:r>
        <w:t xml:space="preserve">Iniciação sexual</w:t>
      </w:r>
    </w:p>
    <w:p>
      <w:pPr>
        <w:pStyle w:val="Normal"/>
      </w:pPr>
      <w:r>
        <w:t xml:space="preserve">A iniciação sexual é o domínio final mais claro. Idade e classe escolar aparecem como marcadores de desenvolvimento associados a maiores chances de iniciação sexual.</w:t>
      </w:r>
    </w:p>
    <w:p>
      <w:pPr>
        <w:pStyle w:val="Normal"/>
      </w:pPr>
      <w:r>
        <w:t xml:space="preserve">Evidência na amostra principal: 11.ª classe vs 10.ª classe apresentou maiores chances de iniciação sexual (OR = 1.32, IC 95% [1.06; 1.63], p = 0,012). 12.ª classe vs 10.ª classe apresentou maiores chances de iniciação sexual (OR = 1.49, IC 95% [1.12; 1.99], p = 0,007). Idade apresentou maiores chances de iniciação sexual (OR = 1.33, IC 95% [1.19; 1.50], p &lt; 0,001).</w:t>
      </w:r>
    </w:p>
    <w:p>
      <w:pPr>
        <w:pStyle w:val="Normal"/>
      </w:pPr>
      <w:r>
        <w:t xml:space="preserve">Evidência na amostra de sensibilidade: 11.ª classe vs 10.ª classe apresentou maiores chances de iniciação sexual (OR = 1.31, IC 95% [1.05; 1.63], p = 0,015). 12.ª classe vs 10.ª classe apresentou maiores chances de iniciação sexual (OR = 1.48, IC 95% [1.10; 1.98], p = 0,009). Idade apresentou maiores chances de iniciação sexual (OR = 1.35, IC 95% [1.20; 1.53], p &lt; 0,001).</w:t>
      </w:r>
    </w:p>
    <w:p>
      <w:pPr>
        <w:pStyle w:val="Normal"/>
      </w:pPr>
      <w:r>
        <w:t xml:space="preserve">Este resultado deve ser interpretado como padrão de desenvolvimento, não como evidência causal. A leitura é compatível com a visão socioecológica de que o desenvolvimento individual interage com família, escola, pares e normas.</w:t>
      </w:r>
    </w:p>
    <w:p>
      <w:pPr>
        <w:pStyle w:val="Titre2"/>
      </w:pPr>
      <w:r>
        <w:t xml:space="preserve">Contraceção e proteção</w:t>
      </w:r>
    </w:p>
    <w:p>
      <w:pPr>
        <w:pStyle w:val="Normal"/>
      </w:pPr>
      <w:r>
        <w:t xml:space="preserve">O domínio da contraceção e proteção é mais heterogéneo. Uso de preservativo, uso de contraceção na primeira relação, uso de contraceção na relação mais recente e uso de pílula anticoncecional são comportamentos relacionados, mas distintos.</w:t>
      </w:r>
    </w:p>
    <w:p>
      <w:pPr>
        <w:pStyle w:val="Normal"/>
      </w:pPr>
      <w:r>
        <w:t xml:space="preserve">Evidência na amostra principal: Idade apresentou menores chances de uso de contraceção na relação sexual mais recente (OR = 0.84, IC 95% [0.72; 0.98], p = 0,031). Idade apresentou maiores chances de uso de preservativo alguma vez (OR = 1.36, IC 95% [1.00; 1.85], p = 0,050).</w:t>
      </w:r>
    </w:p>
    <w:p>
      <w:pPr>
        <w:pStyle w:val="Normal"/>
      </w:pPr>
      <w:r>
        <w:t xml:space="preserve">Evidência na amostra de sensibilidade: Idade apresentou maiores chances de uso de preservativo alguma vez (OR = 1.40, IC 95% [1.02; 1.94], p = 0,041).</w:t>
      </w:r>
    </w:p>
    <w:p>
      <w:pPr>
        <w:pStyle w:val="Normal"/>
      </w:pPr>
      <w:r>
        <w:t xml:space="preserve">A mensagem pública correta é que os comportamentos de proteção não têm um único determinante simples. A evidência deve ser interpretada desfecho por desfecho.</w:t>
      </w:r>
    </w:p>
    <w:p>
      <w:pPr>
        <w:pStyle w:val="Titre2"/>
      </w:pPr>
      <w:r>
        <w:t xml:space="preserve">Gravidez e experiência reprodutiva</w:t>
      </w:r>
    </w:p>
    <w:p>
      <w:pPr>
        <w:pStyle w:val="Normal"/>
      </w:pPr>
      <w:r>
        <w:t xml:space="preserve">A gravidez alguma vez apresenta um forte padrão etário entre respondentes elegíveis. Este domínio exige atenção particular às regras de elegibilidade e aos padrões de salto do questionário.</w:t>
      </w:r>
    </w:p>
    <w:p>
      <w:pPr>
        <w:pStyle w:val="Normal"/>
      </w:pPr>
      <w:r>
        <w:t xml:space="preserve">Evidência na amostra principal: Idade apresentou maiores chances de gravidez alguma vez (OR = 1.95, IC 95% [1.45; 2.62], p &lt; 0,001).</w:t>
      </w:r>
    </w:p>
    <w:p>
      <w:pPr>
        <w:pStyle w:val="Normal"/>
      </w:pPr>
      <w:r>
        <w:t xml:space="preserve">Evidência na amostra de sensibilidade: Idade apresentou maiores chances de gravidez alguma vez (OR = 1.85, IC 95% [1.36; 2.52], p &lt; 0,001).</w:t>
      </w:r>
    </w:p>
    <w:p>
      <w:pPr>
        <w:pStyle w:val="Normal"/>
      </w:pPr>
      <w:r>
        <w:t xml:space="preserve">O resultado deve ser interpretado como padrão etário descritivo entre respondentes para os quais o item é aplicável, e não como estimativa causal geral para todos os adolescentes.</w:t>
      </w:r>
    </w:p>
    <w:p>
      <w:pPr>
        <w:pStyle w:val="Titre2"/>
      </w:pPr>
      <w:r>
        <w:t xml:space="preserve">Indicadores relacionados com IST</w:t>
      </w:r>
    </w:p>
    <w:p>
      <w:pPr>
        <w:pStyle w:val="Normal"/>
      </w:pPr>
      <w:r>
        <w:t xml:space="preserve">Os indicadores relacionados com IST exigem maior cautela. Alguns desfechos referem diagnóstico autorreportado, enquanto teste ou tratamento de IST pode refletir contacto com serviços de saúde sexual e não necessariamente infeção confirmada.</w:t>
      </w:r>
    </w:p>
    <w:p>
      <w:pPr>
        <w:pStyle w:val="Normal"/>
      </w:pPr>
      <w:r>
        <w:t xml:space="preserve">Evidência na amostra principal: Idade apresentou maiores chances de diagnóstico autorreportado de clamídia (OR = 1.58, IC 95% [1.06; 2.35], p = 0,024). Idade apresentou maiores chances de teste ou tratamento de IST (OR = 1.61, IC 95% [1.30; 1.98], p &lt; 0,001).</w:t>
      </w:r>
    </w:p>
    <w:p>
      <w:pPr>
        <w:pStyle w:val="Normal"/>
      </w:pPr>
      <w:r>
        <w:t xml:space="preserve">Evidência na amostra de sensibilidade: Idade apresentou maiores chances de teste ou tratamento de IST (OR = 1.63, IC 95% [1.29; 2.05], p &lt; 0,001).</w:t>
      </w:r>
    </w:p>
    <w:p>
      <w:pPr>
        <w:pStyle w:val="Normal"/>
      </w:pPr>
      <w:r>
        <w:t xml:space="preserve">O diagnóstico autorreportado de gonorreia não deve ser usado como resultado principal, porque o desfecho é raro e impreciso nesta análise.</w:t>
      </w:r>
    </w:p>
    <w:p>
      <w:pPr>
        <w:pStyle w:val="Titre1"/>
      </w:pPr>
      <w:r>
        <w:t xml:space="preserve">Evidência socioecológica exploratória</w:t>
      </w:r>
    </w:p>
    <w:p>
      <w:pPr>
        <w:pStyle w:val="Normal"/>
      </w:pPr>
      <w:r>
        <w:t xml:space="preserve">Os blocos socioecológicos exploratórios são essenciais para a interpretação. Incluem contexto familiar e doméstico, contexto escolar, conhecimentos e atitudes, pares e relações, e comportamentos gerais de risco.</w:t>
      </w:r>
    </w:p>
    <w:p>
      <w:pPr>
        <w:pStyle w:val="Normal"/>
      </w:pPr>
      <w:r>
        <w:t xml:space="preserve">Esses blocos foram analisados porque correspondem à estrutura teórica da tese. No entanto, vários modelos mais ricos apresentaram instabilidade, sinais de revisão, intervalos largos ou odds ratios extremos. Por isso, não são apresentados como conclusões públicas finais.</w:t>
      </w:r>
    </w:p>
    <w:p>
      <w:pPr>
        <w:pStyle w:val="Normal"/>
      </w:pPr>
      <w:r>
        <w:t xml:space="preserve">Isto não deve ser lido como evidência de que família, escola ou pares não têm influência. Significa apenas que a presente réplica com dados públicos não fornece estimativas suficientemente estáveis para afirmações fortes sobre esses níveis.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58"/>
        <w:gridCol w:w="2994"/>
        <w:gridCol w:w="1671"/>
        <w:gridCol w:w="2504"/>
        <w:gridCol w:w="1788"/>
        <w:gridCol w:w="2083"/>
        <w:gridCol w:w="5843"/>
      </w:tblGrid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Nível socioecológico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Bloco do modelo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Modelos ajustados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Modelos tecnicamente estáveis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Usáveis com cautela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Revisão antes do reporte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4"/>
                <w:szCs w:val="14"/>
                <w:color w:val="000000"/>
              </w:rPr>
              <w:t xml:space="preserve">Decisão interpretativa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Nível familiar e doméstico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M1: contexto familiar e doméstico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Exploratório; não promovido a conclusão pública porque predominam sinais de revisão.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Nível escolar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M2: contexto escolar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Exploratório; pode informar hipóteses, mas exige cautela.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Nível psicossocial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M3: conhecimentos, atitudes e perceções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Exploratório; não promovido a conclusão pública porque predominam sinais de revisão.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Nível dos pares e relações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M4: pares e relações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Exploratório; pode informar hipóteses, mas exige cautela.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Nível individual de comportamentos de risco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M5: comportamentos gerais de risco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Não interpretado porque nenhum modelo foi ajustado.</w:t>
            </w:r>
          </w:p>
        </w:tc>
      </w:tr>
    </w:tbl>
    <w:p>
      <w:pPr>
        <w:pStyle w:val="Titre1"/>
      </w:pPr>
      <w:r>
        <w:t xml:space="preserve">Resultados que exigem cautela</w:t>
      </w:r>
    </w:p>
    <w:p>
      <w:pPr>
        <w:pStyle w:val="Normal"/>
      </w:pPr>
      <w:r>
        <w:t xml:space="preserve">Os resultados detalhados de cautela permanecem no Excel e nos CSVs. O relatório público apresenta apenas uma síntese, porque a tabela completa é técnica e extensa.</w:t>
      </w:r>
    </w:p>
    <w:p>
      <w:pPr>
        <w:pStyle w:val="Titre2"/>
      </w:pPr>
      <w:r>
        <w:t xml:space="preserve">Síntese de cautela: amostra principal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2"/>
        <w:gridCol w:w="4093"/>
        <w:gridCol w:w="4876"/>
        <w:gridCol w:w="2571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Domínio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Desfecho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Questão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Número de sinais de cautela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primeira relação sexual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relação sexual mais recente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preservativo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pílula anticoncecional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e experiência reprodutiva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Teste ou tratamento de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clamídia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gonorreia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gonorreia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Desfecho exige revisão manual antes de interpretação pública.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2"/>
      </w:pPr>
      <w:r>
        <w:t xml:space="preserve">Síntese de cautela: amostra de sensibilidade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2"/>
        <w:gridCol w:w="4093"/>
        <w:gridCol w:w="4876"/>
        <w:gridCol w:w="2571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Domínio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Desfecho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Questão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Número de sinais de cautela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primeira relação sexual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relação sexual mais recente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preservativo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pílula anticoncecional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e experiência reprodutiva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Teste ou tratamento de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clamídia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gonorreia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Coeficiente exige revisão ou apresentação em anexo.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gonorreia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Desfecho exige revisão manual antes de interpretação pública.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</w:tr>
    </w:tbl>
    <w:p>
      <w:pPr>
        <w:pStyle w:val="Titre1"/>
      </w:pPr>
      <w:r>
        <w:t xml:space="preserve">Robustez dos modelos conservadores</w:t>
      </w:r>
    </w:p>
    <w:p>
      <w:pPr>
        <w:pStyle w:val="Normal"/>
      </w:pPr>
      <w:r>
        <w:t xml:space="preserve">A robustez foi avaliada comparando a amostra principal com a amostra de sensibilidade. O relatório dá maior peso a padrões que mantêm a mesma direção nas duas amostras.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892"/>
        <w:gridCol w:w="4093"/>
        <w:gridCol w:w="2500"/>
        <w:gridCol w:w="2581"/>
      </w:tblGrid>
      <w:tr>
        <w:trPr>
          <w:trHeight w:val="566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Domínio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Desfecho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Consistência direcional (%)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Resumo da robustez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primeira relação sexual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contraceção na relação sexual mais recente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preservativo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Contraceção e proteção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Uso de pílula anticoncecional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e experiência reprodutiva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Gravidez alguma vez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Teste ou tratamento de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clamídia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moderada</w:t>
            </w:r>
          </w:p>
        </w:tc>
      </w:tr>
      <w:tr>
        <w:trPr>
          <w:trHeight w:val="536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Indicadores relacionados com IST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Diagnóstico autorreportado de gonorreia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  <w:tr>
        <w:trPr>
          <w:trHeight w:val="551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Iniciação sexual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Robustez direcional elevada</w:t>
            </w:r>
          </w:p>
        </w:tc>
      </w:tr>
    </w:tbl>
    <w:p>
      <w:pPr>
        <w:pStyle w:val="Titre1"/>
      </w:pPr>
      <w:r>
        <w:t xml:space="preserve">Implicações</w:t>
      </w:r>
    </w:p>
    <w:p>
      <w:pPr>
        <w:pStyle w:val="Normal"/>
      </w:pPr>
      <w:r>
        <w:t xml:space="preserve">- Apresentar os modelos finais como associações ajustadas conservadoras, não como evidência causal.</w:t>
      </w:r>
    </w:p>
    <w:p>
      <w:pPr>
        <w:pStyle w:val="Normal"/>
      </w:pPr>
      <w:r>
        <w:t xml:space="preserve">- Manter o modelo socioecológico como estrutura teórica organizadora do projeto.</w:t>
      </w:r>
    </w:p>
    <w:p>
      <w:pPr>
        <w:pStyle w:val="Normal"/>
      </w:pPr>
      <w:r>
        <w:t xml:space="preserve">- Não concluir que família ou escola não têm papel; afirmar que a evidência empírica desses níveis permanece exploratória nesta réplica pública.</w:t>
      </w:r>
    </w:p>
    <w:p>
      <w:pPr>
        <w:pStyle w:val="Normal"/>
      </w:pPr>
      <w:r>
        <w:t xml:space="preserve">- Normas dos pares, atitudes, autoeficácia e controlo percebido devem continuar centrais em refinamentos futuros.</w:t>
      </w:r>
    </w:p>
    <w:p>
      <w:pPr>
        <w:pStyle w:val="Normal"/>
      </w:pPr>
      <w:r>
        <w:t xml:space="preserve">- Trabalhos futuros podem refinar construtos, agrupar desfechos raros ou testar modelos alternativos para estimar melhor vias multiníveis.</w:t>
      </w:r>
    </w:p>
    <w:p>
      <w:pPr>
        <w:pStyle w:val="Titre1"/>
      </w:pPr>
      <w:r>
        <w:t xml:space="preserve">Limitações</w:t>
      </w:r>
    </w:p>
    <w:p>
      <w:pPr>
        <w:pStyle w:val="Normal"/>
      </w:pPr>
      <w:r>
        <w:t xml:space="preserve">- Os modelos públicos finais são conservadores e principalmente demográficos.</w:t>
      </w:r>
    </w:p>
    <w:p>
      <w:pPr>
        <w:pStyle w:val="Normal"/>
      </w:pPr>
      <w:r>
        <w:t xml:space="preserve">- A réplica com dados públicos do Add Health não reproduz integralmente a estrutura da base original da tese.</w:t>
      </w:r>
    </w:p>
    <w:p>
      <w:pPr>
        <w:pStyle w:val="Normal"/>
      </w:pPr>
      <w:r>
        <w:t xml:space="preserve">- Os blocos familiar, escolar, de pares e psicossociais foram analisados, mas não promovidos a conclusões principais quando os diagnósticos dos modelos foram instáveis.</w:t>
      </w:r>
    </w:p>
    <w:p>
      <w:pPr>
        <w:pStyle w:val="Normal"/>
      </w:pPr>
      <w:r>
        <w:t xml:space="preserve">- Alguns desfechos dependem de padrões de salto e regras de elegibilidade.</w:t>
      </w:r>
    </w:p>
    <w:p>
      <w:pPr>
        <w:pStyle w:val="Normal"/>
      </w:pPr>
      <w:r>
        <w:t xml:space="preserve">- Alguns indicadores relacionados com IST são raros e exigem interpretação cautelosa.</w:t>
      </w:r>
    </w:p>
    <w:p>
      <w:pPr>
        <w:pStyle w:val="Normal"/>
      </w:pPr>
      <w:r>
        <w:t xml:space="preserve">- Todos os resultados são associacionais e não devem ser interpretados como efeitos causais.</w:t>
      </w:r>
    </w:p>
    <w:p>
      <w:pPr>
        <w:pStyle w:val="Titre1"/>
      </w:pPr>
      <w:r>
        <w:t xml:space="preserve">Conclusão</w:t>
      </w:r>
    </w:p>
    <w:p>
      <w:pPr>
        <w:pStyle w:val="Normal"/>
      </w:pPr>
      <w:r>
        <w:t xml:space="preserve">A conclusão pública é socioecológica e conservadora. Os resultados empíricos mais estáveis concentram-se em marcadores individuais de desenvolvimento, sobretudo idade e classe escolar. Ao mesmo tempo, a interpretação teórica permanece multinível: família, escola, pares e mecanismos psicossociais continuam centrais para compreender comportamentos de saúde sexual e reprodutiva na adolescência.</w:t>
      </w:r>
    </w:p>
    <w:p>
      <w:pPr>
        <w:pStyle w:val="Normal"/>
      </w:pPr>
      <w:r>
        <w:t xml:space="preserve">A réplica com dados públicos do Add Health oferece uma forma transparente e eticamente mais segura de reproduzir a lógica analítica geral da tese, evitando a publicação de microdados sensíveis da tese original.</w:t>
      </w:r>
    </w:p>
    <w:p>
      <w:pPr>
        <w:pStyle w:val="Normal"/>
      </w:pPr>
      <w:r>
        <w:t xml:space="preserve">Trabalhos futuros devem refinar os construtos familiares, escolares, de pares e psicossociais, testar especificações alternativas e tratar os resultados exploratórios como hipóteses, não como conclusões causais finais.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2026-07-06T07:14:34Z</dcterms:modified>
  <cp:category/>
</cp:coreProperties>
</file>