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Partner and Frequency Targeted Recovery Audit</w:t>
      </w:r>
    </w:p>
    <w:p>
      <w:pPr>
        <w:pStyle w:val="Normal"/>
      </w:pPr>
      <w:r>
        <w:t xml:space="preserve">Script 18a v5 targets the partner-exposure and sexual-frequency dimensions of the ISX-equivalent sexual protection index. It separates behavioral candidates from psychosocial predictors and produces a manual review template before index construction.</w:t>
      </w:r>
    </w:p>
    <w:p>
      <w:pPr>
        <w:pStyle w:val="Titre2"/>
      </w:pPr>
      <w:r>
        <w:t xml:space="preserve">Index feasibility decision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provisional_decision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rows detected for isx2: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not_available_or_not_recovered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rows detected for isx4: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not_available_or_not_recovered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full_four_component_isx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Four-component ISX is not yet empirically supported by recovered behavioral variables.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not_ready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restricted_isx_alternative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isx2/isx4 remain unavailable, construct a restricted ISX-equivalent index using sexual initiation/timing and condom/contraceptive behavior, and document the limitation.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available_if_full_isx_not_possible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next_step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 the manual selection template before Script 18b.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manual_review_required</w:t>
            </w:r>
          </w:p>
        </w:tc>
      </w:tr>
    </w:tbl>
    <w:p>
      <w:pPr>
        <w:pStyle w:val="Titre2"/>
      </w:pPr>
      <w:r>
        <w:t xml:space="preserve">Target component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h1co_target_manual_review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Targeted H1CO variable requiring manual 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h1co_target_manual_review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Targeted 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unavailable_or_empty_target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ISX2: number of partners /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ISX3: 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ISX4: sexual frequency / exposure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sexual_health_outcome_not_isx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outcome, not ISX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target_unclassified_manual_review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 variable requiring manual 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Best candidate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best_values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ISX2: number of partners / partner 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S17Q2 IF SEX LOSE PARTNER RESPECT-W1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ISX4: sexual frequency / exposure 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S24Q6 MOST RECENT SEX-BIRTHCONTROL-W1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Partner/frequency candidate variables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variable_label_effective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distinct_valid_n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value_distribution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S17Q2 IF SEX LOSE PARTNER RESPECT-W1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ISX2: number of partners / partner 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1:261; 2:463; 3:1363; 4:1568; 5:681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S24Q6 MOST RECENT SEX-BIRTHCONTROL-W1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ISX4: sexual frequency / exposure 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exclude_psychosocial_predictor_not_dependent_index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1:1700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Reason for Script 18a v5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v5 targets the two ISX dimensions not closed by Script 18a v4: partner exposure and sexual frequency/exposure intensity.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final dependent variable should remain behavioral: higher ISX-equivalent scores represent higher sexual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 about knowledge, attitudes, risk perceptions, parents, peers, school, morality or self-efficacy are excluded from the dependent ISX index and retained for later predictor blocks.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Proxy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exact last-year partner/frequency items are unavailable, a functionally equivalent behavioral proxy may be used only if it measures actual sexual behavior or exposure.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 index 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partner exposure and sexual frequency are unavailable in the public-use data, a restricted ISX-equivalent index using initiation/timing and protective method behavior is methodologically acceptable if clearly documented.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v5 does not construct the index. It prepares candidate evidence for the manual decision before Script 18b.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Only variable-level summaries are exported; respondent-level data are not written.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2026-07-07T07:22:05Z</dcterms:modified>
  <cp:category/>
</cp:coreProperties>
</file>