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Script 14 - Benchmark Validation Against Federal Reserve Public Results</w:t>
      </w:r>
    </w:p>
    <w:p>
      <w:pPr>
        <w:pStyle w:val="Normal"/>
      </w:pPr>
      <w:r>
        <w:t xml:space="preserve">USA Bank Stress Test DFAST Replication</w:t>
      </w:r>
    </w:p>
    <w:p>
      <w:pPr>
        <w:pStyle w:val="Normal"/>
      </w:pPr>
      <w:r>
        <w:t xml:space="preserve">2026-06-30 07:30:57</w:t>
      </w:r>
    </w:p>
    <w:p>
      <w:pPr>
        <w:pStyle w:val="Titre2"/>
      </w:pPr>
      <w:r>
        <w:t xml:space="preserve">1. Objective</w:t>
      </w:r>
    </w:p>
    <w:p>
      <w:pPr>
        <w:pStyle w:val="Normal"/>
      </w:pPr>
      <w:r>
        <w:t xml:space="preserve">This script validates the integrated public stress test projection engine against Federal Reserve DFAST public benchmark outcomes. The validation focuses on CET1 minimum ratios, capital depletion, credit loss ratios and PPNR ratios.</w:t>
      </w:r>
    </w:p>
    <w:p>
      <w:pPr>
        <w:pStyle w:val="Titre2"/>
      </w:pPr>
      <w:r>
        <w:t xml:space="preserve">2. Executive validation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4629"/>
        <w:gridCol w:w="1084"/>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value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Benchmark validation observations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Exercise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Latest exercise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MAE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0.5873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0.9688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High precision share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Acceptable or better share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4.5 percent classification 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7.0 percent classification 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0.9557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Largest absolute CET1 minimum ratio 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5.0721</w:t>
            </w:r>
          </w:p>
        </w:tc>
      </w:tr>
    </w:tbl>
    <w:p>
      <w:pPr>
        <w:pStyle w:val="Titre2"/>
      </w:pPr>
      <w:r>
        <w:t xml:space="preserve">3. Overall validation metrics</w:t>
      </w:r>
    </w:p>
    <w:tbl xmlns:a="http://schemas.openxmlformats.org/drawingml/2006/main" xmlns:pic="http://schemas.openxmlformats.org/drawingml/2006/picture">
      <w:tblPr>
        <w:tblLayout w:type="fixed"/>
        <w:jc w:val="center"/>
        <w:tblLook w:firstRow="1" w:lastRow="0" w:firstColumn="0" w:lastColumn="0" w:noHBand="0" w:noVBand="1"/>
      </w:tblPr>
      <w:tblGrid>
        <w:gridCol w:w="2624"/>
        <w:gridCol w:w="2881"/>
        <w:gridCol w:w="3982"/>
        <w:gridCol w:w="1658"/>
        <w:gridCol w:w="1695"/>
        <w:gridCol w:w="1988"/>
        <w:gridCol w:w="1842"/>
        <w:gridCol w:w="2160"/>
        <w:gridCol w:w="1769"/>
        <w:gridCol w:w="1793"/>
        <w:gridCol w:w="1573"/>
        <w:gridCol w:w="1854"/>
        <w:gridCol w:w="2136"/>
        <w:gridCol w:w="1695"/>
        <w:gridCol w:w="1695"/>
        <w:gridCol w:w="2649"/>
        <w:gridCol w:w="145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r2_outcome_prediction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correlation</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 loss 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actual_credit_loss_ratio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predicted_credit_loss_ratio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0.04196490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0.04189275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0.03975136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0.04039464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0.001643951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-0.01469286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0.1563453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0.1563453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-0.000072149952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0.005962158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0.004283241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0.9560181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0.9777666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PPNR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actual_ppnr_ratio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predicted_ppnr_ratio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0.04501647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0.04500941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0.03785211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0.03883362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-0.010924126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-0.01714072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0.1694124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0.1709187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-0.000007063065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0.009331398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0.006536371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0.9199794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0.9591610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actual_capital_depletion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predicted_capital_depletion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2.66714990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2.66754904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2.30000000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2.43318667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-0.551000000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-2.30385327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9.2510000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8.5975766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0.000399139507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0.789149976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0.569840886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0.8378545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0.9153451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minimum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observed_cet1_min_ratio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integrated_predicted_cet1_min_ratio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10.68158954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10.69613305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9.70000000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9.76525265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4.800000000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5.55726815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60.7000000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61.1554952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0.014543516429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0.845996885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0.587317641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0.9688421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0.9843206</w:t>
            </w:r>
          </w:p>
        </w:tc>
      </w:tr>
    </w:tbl>
    <w:p>
      <w:pPr>
        <w:pStyle w:val="Titre2"/>
      </w:pPr>
      <w:r>
        <w:t xml:space="preserve">4. Threshold classification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135"/>
        <w:gridCol w:w="1658"/>
        <w:gridCol w:w="3040"/>
        <w:gridCol w:w="3040"/>
        <w:gridCol w:w="2269"/>
        <w:gridCol w:w="266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observed_below_threshold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predicted_below_threshold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correctly_classified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classification_accuracy</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4.5 percent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1.0000000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 7.0 percent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0.9557344</w:t>
            </w:r>
          </w:p>
        </w:tc>
      </w:tr>
    </w:tbl>
    <w:p>
      <w:pPr>
        <w:pStyle w:val="Titre2"/>
      </w:pPr>
      <w:r>
        <w:t xml:space="preserve">5. Largest CET1 minimum ratio prediction errors</w:t>
      </w:r>
    </w:p>
    <w:tbl xmlns:a="http://schemas.openxmlformats.org/drawingml/2006/main" xmlns:pic="http://schemas.openxmlformats.org/drawingml/2006/picture">
      <w:tblPr>
        <w:tblLayout w:type="fixed"/>
        <w:jc w:val="center"/>
        <w:tblLook w:firstRow="1" w:lastRow="0" w:firstColumn="0" w:lastColumn="0" w:noHBand="0" w:noVBand="1"/>
      </w:tblPr>
      <w:tblGrid>
        <w:gridCol w:w="3822"/>
        <w:gridCol w:w="1780"/>
        <w:gridCol w:w="3431"/>
        <w:gridCol w:w="2881"/>
        <w:gridCol w:w="3982"/>
        <w:gridCol w:w="2966"/>
        <w:gridCol w:w="3444"/>
        <w:gridCol w:w="2832"/>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exercise_year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integrated_predicted_cet1_min_ratio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cet1_min_prediction_error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abs_cet1_min_prediction_error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cet1_min_validation_flag</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19.572132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5.072132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5.072132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State Street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9.765253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4.465253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4.465253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16.778880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4.078880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4.078880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22.902423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3.402423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3.402423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 Suisse Holdings (USA),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23.450962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3.350962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3.350962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9.596562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-2.603438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2.603438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Discover Financial Services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11.421980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-2.278020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2.278020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Morgan Stanley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9.555328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2.255328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2.255328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Northern Trust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13.498928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2.198928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2.198928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10.702702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-2.197298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2.197298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State Street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10.760586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2.160586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2.160586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UBS Americas Holding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12.149534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2.149534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2.149534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11.213428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-2.086572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2.086572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Goldman Sachs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9.323728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-2.076272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2.076272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7.173870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2.073870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2.073870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Large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Morgan Stanley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10.836565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1.936565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1.936565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UBS Americas Holding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9.911904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1.911904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1.911904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TD Group US Holdings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13.066624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1.866624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1.866624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deviation</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9.091821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-1.808179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1.808179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deviation</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American Express Company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11.695098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-1.804902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1.804902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Moderate deviation</w:t>
            </w:r>
          </w:p>
        </w:tc>
      </w:tr>
    </w:tbl>
    <w:p>
      <w:pPr>
        <w:pStyle w:val="Titre2"/>
      </w:pPr>
      <w:r>
        <w:t xml:space="preserve">6. Bank-level validation ranking</w:t>
      </w:r>
    </w:p>
    <w:tbl xmlns:a="http://schemas.openxmlformats.org/drawingml/2006/main" xmlns:pic="http://schemas.openxmlformats.org/drawingml/2006/picture">
      <w:tblPr>
        <w:tblLayout w:type="fixed"/>
        <w:jc w:val="center"/>
        <w:tblLook w:firstRow="1" w:lastRow="0" w:firstColumn="0" w:lastColumn="0" w:noHBand="0" w:noVBand="1"/>
      </w:tblPr>
      <w:tblGrid>
        <w:gridCol w:w="4531"/>
        <w:gridCol w:w="1658"/>
        <w:gridCol w:w="1915"/>
        <w:gridCol w:w="1854"/>
        <w:gridCol w:w="3359"/>
        <w:gridCol w:w="3040"/>
        <w:gridCol w:w="2905"/>
        <w:gridCol w:w="315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cet1_min_bias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mean_abs_cet1_min_error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max_abs_cet1_min_error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acceptable_or_better_share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DB USA Corporation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2.4421312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1.9454975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0.8491353738862820188515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1.9454975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5.0721322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0.4166667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State Street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1.5694265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1.2020269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0.0149484330268547238596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1.2020269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4.4652526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0.5000000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Credit Suisse Holdings (USA),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1.3542143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0.9602322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0.0147491171413886637542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0.9602322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3.3509617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0.5555556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1.1591378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0.9577695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-0.1028882688933445005430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0.9577695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2.1972984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0.6428571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Goldman Sachs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1.1002585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0.9117777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-0.0790553171582086822156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0.9117777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2.0762720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0.5625000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Morgan Stanley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1.0446426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0.8322446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0.0287059110357537616842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0.8322446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2.2553280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0.6250000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UBS Americas Holding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1.0229083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0.7775894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0.0751817173772499208750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0.7775894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2.1495337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0.7500000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American Express Company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0.9927478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0.8325216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-0.0000000000000014347664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0.8325216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1.8049016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0.6923077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Bank of New York Mellon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0.9426595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0.8157117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-0.0541938404412948271371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0.8157117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1.5517827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0.6250000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Discover Financial Services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0.9280718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0.6870612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0.0000000000000024222863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0.6870612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2.2780197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0.7272727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Northern Trust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0.9162394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0.7140220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-0.0244834654920244032539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0.7140220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2.1989277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0.7500000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Deutsche Bank Trust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0.8973634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0.7640274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0.0000000000000079936058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0.7640274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1.5280548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0.7500000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TD Group US Holdings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0.8375786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0.7173088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0.0274980418690746741817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0.7173088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1.8666236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0.8750000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BMO Financial 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0.8293021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0.6986953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-0.0186460820368021806814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0.6986953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1.3868427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0.6428571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Barclays US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0.7864320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0.6990469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0.0422943960488354128713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0.6990469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1.3651596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0.8333333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MUFG Americas Holdings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0.7633796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0.6206024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-0.0523504978036321635959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0.6206024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1.3630497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0.7777778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Citigroup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0.7421967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0.6076010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0.0385375613854998522179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0.6076010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1.5727912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0.8750000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Charles Schwab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0.7406715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0.6407413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-0.4392000000000024217961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0.6407413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1.3407719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0.8000000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CIT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0.7377643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0.7377643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-0.0000000000000008881784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0.7377643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0.7377643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1.0000000</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Santander Holdings USA, Inc.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0.7253668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0.6228801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-0.0000000000000007401351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0.6228801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1.2590380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0.6666667</w:t>
            </w:r>
          </w:p>
        </w:tc>
      </w:tr>
    </w:tbl>
    <w:p>
      <w:pPr>
        <w:pStyle w:val="Titre2"/>
      </w:pPr>
      <w:r>
        <w:t xml:space="preserve">7. Methodological note</w:t>
      </w:r>
    </w:p>
    <w:p>
      <w:pPr>
        <w:pStyle w:val="Normal"/>
      </w:pPr>
      <w:r>
        <w:t xml:space="preserve">The benchmark validation compares public model projections with public DFAST outcome variables. It does not validate against confidential Federal Reserve models, confidential supervisory assumptions or bank internal capital planning systems.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2026-06-30T07:31:01Z</dcterms:modified>
  <cp:category/>
</cp:coreProperties>
</file>