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13 - Stress Test Results and Bank Vulnerability Ranking</w:t>
      </w:r>
    </w:p>
    <w:p>
      <w:pPr>
        <w:pStyle w:val="Normal"/>
      </w:pPr>
      <w:r>
        <w:t xml:space="preserve">USA Bank Stress Test DFAST Replication</w:t>
      </w:r>
    </w:p>
    <w:p>
      <w:pPr>
        <w:pStyle w:val="Normal"/>
      </w:pPr>
      <w:r>
        <w:t xml:space="preserve">2026-06-30 07:20:58</w:t>
      </w:r>
    </w:p>
    <w:p>
      <w:pPr>
        <w:pStyle w:val="Titre2"/>
      </w:pPr>
      <w:r>
        <w:t xml:space="preserve">1. Objective</w:t>
      </w:r>
    </w:p>
    <w:p>
      <w:pPr>
        <w:pStyle w:val="Normal"/>
      </w:pPr>
      <w:r>
        <w:t xml:space="preserve">This script produces the final stress test results and bank vulnerability rankings using the fixed integrated projection panel from Script 12b.</w:t>
      </w:r>
    </w:p>
    <w:p>
      <w:pPr>
        <w:pStyle w:val="Titre2"/>
      </w:pPr>
      <w:r>
        <w:t xml:space="preserve">2. Executive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5338"/>
        <w:gridCol w:w="264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value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Panel observations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Latest exercise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Minimum predicted CET1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5.5573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predicted CET1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10.6961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Maximum predicted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8.5976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 predicted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 below 4.5 percent CET1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 below 7.0 percent CET1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0.9688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Most vulnerable bank by composite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BMO Financial Corp.</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Most vulnerable bank by minimum predicted CET1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M&amp;T Bank Corporation</w:t>
            </w:r>
          </w:p>
        </w:tc>
      </w:tr>
    </w:tbl>
    <w:p>
      <w:pPr>
        <w:pStyle w:val="Titre2"/>
      </w:pPr>
      <w:r>
        <w:t xml:space="preserve">3. Model accuracy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062"/>
        <w:gridCol w:w="1658"/>
        <w:gridCol w:w="1695"/>
        <w:gridCol w:w="1695"/>
        <w:gridCol w:w="264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r2_outcome_prediction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credit_loss_ratio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0.005962158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0.004283241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0.9560181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0.009331398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0.006536371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0.9199794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0.789149976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0.569840886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0.8378545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0.845996885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0.587317641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0.9688421</w:t>
            </w:r>
          </w:p>
        </w:tc>
      </w:tr>
    </w:tbl>
    <w:p>
      <w:pPr>
        <w:pStyle w:val="Titre2"/>
      </w:pPr>
      <w:r>
        <w:t xml:space="preserve">4. Latest exercise vulnerability ranking</w:t>
      </w:r>
    </w:p>
    <w:tbl xmlns:a="http://schemas.openxmlformats.org/drawingml/2006/main" xmlns:pic="http://schemas.openxmlformats.org/drawingml/2006/picture">
      <w:tblPr>
        <w:tblLayout w:type="fixed"/>
        <w:jc w:val="center"/>
        <w:tblLook w:firstRow="1" w:lastRow="0" w:firstColumn="0" w:lastColumn="0" w:noHBand="0" w:noVBand="1"/>
      </w:tblPr>
      <w:tblGrid>
        <w:gridCol w:w="3162"/>
        <w:gridCol w:w="4311"/>
        <w:gridCol w:w="3358"/>
        <w:gridCol w:w="3358"/>
        <w:gridCol w:w="3627"/>
        <w:gridCol w:w="3578"/>
        <w:gridCol w:w="2906"/>
        <w:gridCol w:w="381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latest_year_rank_composite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min_predicted_ppnr_ratio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worst_scenario_by_predicted_cet1</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First Citizens Bancshares, Inc.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4.5000000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0.06981858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0.035733920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7.409436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3.8905644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0.03991681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0.002555548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BMO Financial 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10.055724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3.9442761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0.05183047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0.034296244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Ally Financial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8.136001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2.0639989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0.05783727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0.048388175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Citizens Financial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8.570797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2.0292033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0.05551665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0.041291799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One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9.994909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4.3050913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0.12647280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0.117014055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M&amp;T Bank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9.012285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1.7877151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0.06515537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0.058974874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KeyCorp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9.650704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2.1492958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0.04841008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0.044294352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Wells Fargo &amp; Company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8.616848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1.9831520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0.04447909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0.051316198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Huntington Bancshares Incorporated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8.937266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1.4627341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0.05455747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0.056339701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Fifth Third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9.564262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1.2357384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0.05603937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0.052151768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RBC US Group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13.496070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3.7039297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0.04837856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0.039933483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Truist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9.357064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1.4429362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0.04634883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0.047685480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Citigroup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10.414472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2.7855279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0.04635153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0.052721509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15.746024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6.8539761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0.01742108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0.010918726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Regions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10.100204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0.7997959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0.05571398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0.052062079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9.906620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0.8933797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0.05381682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0.063776871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 of America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9.993094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1.4069060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0.03975731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0.042460525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PNC Financial Services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9.712716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0.8872844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0.04376279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0.050623423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TD Group US Holdings LLC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14.390432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2.1095682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0.04782208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0.042525869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r>
    </w:tbl>
    <w:p>
      <w:pPr>
        <w:pStyle w:val="Titre2"/>
      </w:pPr>
      <w:r>
        <w:t xml:space="preserve">5. Full-sample composite vulnerability ranking</w:t>
      </w:r>
    </w:p>
    <w:tbl xmlns:a="http://schemas.openxmlformats.org/drawingml/2006/main" xmlns:pic="http://schemas.openxmlformats.org/drawingml/2006/picture">
      <w:tblPr>
        <w:tblLayout w:type="fixed"/>
        <w:jc w:val="center"/>
        <w:tblLook w:firstRow="1" w:lastRow="0" w:firstColumn="0" w:lastColumn="0" w:noHBand="0" w:noVBand="1"/>
      </w:tblPr>
      <w:tblGrid>
        <w:gridCol w:w="3248"/>
        <w:gridCol w:w="3994"/>
        <w:gridCol w:w="3358"/>
        <w:gridCol w:w="3627"/>
        <w:gridCol w:w="3713"/>
        <w:gridCol w:w="3101"/>
        <w:gridCol w:w="3896"/>
        <w:gridCol w:w="260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vulnerability_rank_composite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max_composite_vulnerability_score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observations_below_7</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BMO Financial Corp.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6.005739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5.738658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0.04334462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0.0165752501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0.9153226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BNP Paribas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7.130138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5.269862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0.05004031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0.0149208297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0.8881048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First Citizens Bancshares,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0.06981858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0.0357339197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0.8878024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M&amp;T Bank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5.557268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4.440122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0.05624164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0.0427548652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0.8746976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6.656609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7.197298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0.03227416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-0.0004199715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0.8744960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Zions Bancorporation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7.330414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4.869586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0.04499470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0.0291750525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0.8725806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BBVA Compass Bancshares,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6.694886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4.126145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0.04486402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0.0273969362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0.8716734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Citizens Financial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6.762031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4.437969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0.04715143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0.0286540160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0.8528226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One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6.208272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5.165653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0.11751449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0.0990727946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0.8280242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Ally Financial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5.972050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3.227950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0.04951123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0.0380219980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0.8110887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KeyCorp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5.898983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0.04077523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0.0333277606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0.7849798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BancWest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8.457190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3.842810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0.04768068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0.0323489618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0.7760081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Fifth Third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6.639824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3.160176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0.04711511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0.0393416325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0.7581653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Huntington Bancshares Incorporated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6.620323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3.179677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0.0393357367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0.7514113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Regions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7.189449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3.710551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0.04676224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0.0401403600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0.7476815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5.892821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6.234444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0.01891278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0.0331872377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0.7297379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SunTrust Banks,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6.719674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0.03196728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0.0359406513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0.7222782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Wells Fargo &amp; Company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7.455077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3.644923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0.03712277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0.0426997594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0.7192540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Truist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7.028137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2.215377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0.04482233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0.0323790244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0.7059476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RBC US Group Holdings LLC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10.313413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5.332211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0.04655892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0.0222865855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0.7015121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r>
    </w:tbl>
    <w:p>
      <w:pPr>
        <w:pStyle w:val="Titre2"/>
      </w:pPr>
      <w:r>
        <w:t xml:space="preserve">6. Scenario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780"/>
        <w:gridCol w:w="1842"/>
        <w:gridCol w:w="3431"/>
        <w:gridCol w:w="1658"/>
        <w:gridCol w:w="998"/>
        <w:gridCol w:w="3713"/>
        <w:gridCol w:w="3884"/>
        <w:gridCol w:w="3101"/>
        <w:gridCol w:w="3273"/>
        <w:gridCol w:w="3762"/>
        <w:gridCol w:w="3933"/>
        <w:gridCol w:w="3554"/>
        <w:gridCol w:w="3358"/>
        <w:gridCol w:w="3554"/>
        <w:gridCol w:w="3358"/>
        <w:gridCol w:w="2845"/>
        <w:gridCol w:w="2600"/>
        <w:gridCol w:w="4030"/>
        <w:gridCol w:w="2465"/>
        <w:gridCol w:w="240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median_predicted_ppnr_ratio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observations_below_4_5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observations_below_7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mean_composite_vulnerability_score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mae_cet1_min_ratio</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0.02932908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0.02709427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0.04735693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0.04061322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1.552720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1.4258418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10.947280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7.889855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10.885294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0.3668910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0.6932039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0.5187715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0.04544656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0.04340453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0.04306674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0.03612374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3.676692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3.6886231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8.823308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5.972050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8.885294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0.6498873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0.6755449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0.5237728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0.02984779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0.02609096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0.05331766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0.04679759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1.216468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12.440675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8.215123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12.134286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0.3111434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0.8251336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0.6441674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0.04496361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0.04101332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0.04732788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0.04040476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3.437818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3.2962184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10.219325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5.898983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10.525714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0.5887702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0.7618118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0.5792144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0.03003310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0.02696124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0.05057599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0.04467152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1.975564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1.6976532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10.888325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7.781872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0.3766437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0.6492612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0.4638103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0.04516816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0.04208533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0.04461885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0.03848353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3.811908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3.6005782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9.051980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5.892821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0.6186100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1.2047903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0.8028435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0.01895207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0.02010644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0.04313424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0.04472597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1.718940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1.0491111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12.475796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9.091821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12.715789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0.2881101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0.8742858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0.6366204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0.03440028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0.03565741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0.03770846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0.03951829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3.486323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3.0091911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10.708414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7.000084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10.468421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0.5030666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0.9021610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0.7701484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0.04227364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0.04162905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0.03562178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2.735294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2.2807677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10.402941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6.786843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10.402941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0.5307311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0.8215337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0.6893073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0.04985707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0.04734868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0.03931651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0.03314427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2.793539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2.5090087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10.716461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5.557268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10.687143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0.5510714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0.5785072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0.4155521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0.05131063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0.04868140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0.03743745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0.03119819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2.5463805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10.442618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5.717511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10.361765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0.5818370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0.9325782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0.6333099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0.04551804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0.04269623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0.04630890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0.03823942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2.691176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2.5918453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6.807005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0.5166420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0.9697455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0.6302703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0.03939360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0.04208755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0.03453190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0.03108518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3.091583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2.9614337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10.916750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6.839885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0.5358367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0.6701749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0.4886670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0.05308210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0.04951401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0.04020298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0.03210243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3.195344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2.6798839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9.870281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6.005739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9.746875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0.6148406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1.1462421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0.6553139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0.04404232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0.04517144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0.04729831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0.04035778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2.1083098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12.243478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8.331610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12.186957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0.4321047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1.0583475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0.6866912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0.05182995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0.04837856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0.05962694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0.05206208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1.962091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1.9452653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11.425788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11.463636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0.4368799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0.4768830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0.3596790</w:t>
            </w:r>
          </w:p>
        </w:tc>
      </w:tr>
    </w:tbl>
    <w:p>
      <w:pPr>
        <w:pStyle w:val="Titre2"/>
      </w:pPr>
      <w:r>
        <w:t xml:space="preserve">7. Methodological note</w:t>
      </w:r>
    </w:p>
    <w:p>
      <w:pPr>
        <w:pStyle w:val="Normal"/>
      </w:pPr>
      <w:r>
        <w:t xml:space="preserve">The vulnerability ranking is based on predicted minimum CET1 ratios, predicted capital depletion, predicted credit loss intensity, PPNR weakness and net stress margin weakness. The outputs are based on public reduced-form models and should be interpreted as a benchmarking exercise rather than as a confidential supervisory stress test.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2026-06-30T07:21:03Z</dcterms:modified>
  <cp:category/>
</cp:coreProperties>
</file>