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12b - Fix Integrated Projection Join Keys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2026-06-30 07:14:26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diagnoses and fixes duplicated join keys in the integrated stress test projection engine. It forces one row per bank-year-scenario key before merging credit loss, PPNR and capital depletion model outputs.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3847"/>
        <w:gridCol w:w="4934"/>
        <w:gridCol w:w="3249"/>
        <w:gridCol w:w="3126"/>
        <w:gridCol w:w="2477"/>
        <w:gridCol w:w="2380"/>
        <w:gridCol w:w="2575"/>
        <w:gridCol w:w="2306"/>
        <w:gridCol w:w="2209"/>
        <w:gridCol w:w="2404"/>
        <w:gridCol w:w="3224"/>
        <w:gridCol w:w="3101"/>
        <w:gridCol w:w="3334"/>
        <w:gridCol w:w="3676"/>
        <w:gridCol w:w="998"/>
        <w:gridCol w:w="949"/>
        <w:gridCol w:w="1352"/>
        <w:gridCol w:w="19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credit_rows_selected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ppnr_rows_selected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capital_rows_selected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credit_unique_keys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ppnr_unique_keys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capital_unique_keys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fixed_integrated_panel_rows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fixed_integrated_long_rows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fixed_integrated_unique_keys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fixed_integrated_duplicated_keys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figures_created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fix_integrated_projection_join_keys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07:14:18.718509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07:14:25.69355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7,952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3. Join key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2"/>
        <w:gridCol w:w="3150"/>
        <w:gridCol w:w="1646"/>
        <w:gridCol w:w="1988"/>
        <w:gridCol w:w="23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rows_after_model_selection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unique_keys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duplicated_keys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max_rows_per_key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capital_depletion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Titre2"/>
      </w:pPr>
      <w:r>
        <w:t xml:space="preserve">4. Post-aggregation 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2"/>
        <w:gridCol w:w="1621"/>
        <w:gridCol w:w="3970"/>
        <w:gridCol w:w="293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rows_after_unique_key_aggregation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duplicate_rows_collapsed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credit_loss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capital_depletion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</w:tbl>
    <w:p>
      <w:pPr>
        <w:pStyle w:val="Titre2"/>
      </w:pPr>
      <w:r>
        <w:t xml:space="preserve">5. Fixed integrated panel 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875"/>
        <w:gridCol w:w="1646"/>
        <w:gridCol w:w="1988"/>
        <w:gridCol w:w="23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unique_keys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duplicated_keys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max_rows_per_key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integrated_panel_fixed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6. Fixed validation metrics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2"/>
        <w:gridCol w:w="1658"/>
        <w:gridCol w:w="1695"/>
        <w:gridCol w:w="1695"/>
        <w:gridCol w:w="26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r2_outcome_prediction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credit_loss_ratio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0.005962158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0.004283241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0.9560181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0.009331398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0.006536371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0.9199794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capital_depletion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0.789149976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0.569840886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0.8378545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cet1_min_ratio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0.845996885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0.587317641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0.9688421</w:t>
            </w:r>
          </w:p>
        </w:tc>
      </w:tr>
    </w:tbl>
    <w:p>
      <w:pPr>
        <w:pStyle w:val="Titre2"/>
      </w:pPr>
      <w:r>
        <w:t xml:space="preserve">7. Most vulnerable banks after join-key fix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3"/>
        <w:gridCol w:w="3994"/>
        <w:gridCol w:w="1658"/>
        <w:gridCol w:w="3358"/>
        <w:gridCol w:w="3358"/>
        <w:gridCol w:w="3627"/>
        <w:gridCol w:w="3713"/>
        <w:gridCol w:w="31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vulnerability_rank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min_predicted_cet1_min_ratio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min_observed_cet1_min_ratio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max_predicted_capital_depletion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mean_predicted_credit_loss_ratio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mean_predicted_ppnr_ratio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M&amp;T Bank Corporation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5.557268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4.440122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0.05624164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0.0427548652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Goldman Sachs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5.892821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6.234444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0.01891278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0.0331872377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KeyCorp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5.898983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0.04077523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0.0333277606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Ally Financial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5.972050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3.227950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0.04951123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0.0380219980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BMO Financial Corp.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6.005739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5.738658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0.04334462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0.0165752501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One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5.165653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0.11751449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0.0990727946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Huntington Bancshares Incorporated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0.0393357367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Fifth Third Bancorp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6.639824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0.04711511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0.0393416325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6.656609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7.197298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-0.0004199715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BBVA Compass Bancshares,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6.694886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4.126145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0.04486402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0.0273969362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Citizens Bancshares,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0.06981858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0.0357339197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SunTrust Banks,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6.719674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3.076423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0.03196728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0.0359406513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Citizens Financial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6.762031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0.04715143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0.0286540160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U.S. Bancorp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2.608237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0.0499275327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Truist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7.028137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0.04482233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0.0323790244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BB&amp;T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7.083370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3.216630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0.0493833413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BNP Paribas USA,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5.269862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0.05004031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0.0149208297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Regions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0.04676224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0.0401403600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Zions Bancorporation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7.330414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4.869586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0.04499470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0.0291750525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Wells Fargo &amp; Company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7.455077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3.644923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0.03712277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0.0426997594</w:t>
            </w:r>
          </w:p>
        </w:tc>
      </w:tr>
    </w:tbl>
    <w:p>
      <w:pPr>
        <w:pStyle w:val="Titre2"/>
      </w:pPr>
      <w:r>
        <w:t xml:space="preserve">8. Methodological note</w:t>
      </w:r>
    </w:p>
    <w:p>
      <w:pPr>
        <w:pStyle w:val="Normal"/>
      </w:pPr>
      <w:r>
        <w:t xml:space="preserve">The correction aggregates duplicated bank-year-scenario keys within each model component before merging. This prevents artificial row expansion in the integrated projection panel while preserving the operational model choices from Script 12.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2026-06-30T07:14:30Z</dcterms:modified>
  <cp:category/>
</cp:coreProperties>
</file>