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Script 15 - Robustness, Sensitivity and Model Risk Assessment</w:t>
      </w:r>
    </w:p>
    <w:p>
      <w:pPr>
        <w:pStyle w:val="Normal"/>
      </w:pPr>
      <w:r>
        <w:t xml:space="preserve">USA Bank Stress Test DFAST Replication</w:t>
      </w:r>
    </w:p>
    <w:p>
      <w:pPr>
        <w:pStyle w:val="Normal"/>
      </w:pPr>
      <w:r>
        <w:t xml:space="preserve">2026-06-30 07:40:57</w:t>
      </w:r>
    </w:p>
    <w:p>
      <w:pPr>
        <w:pStyle w:val="Titre2"/>
      </w:pPr>
      <w:r>
        <w:t xml:space="preserve">1. Objective</w:t>
      </w:r>
    </w:p>
    <w:p>
      <w:pPr>
        <w:pStyle w:val="Normal"/>
      </w:pPr>
      <w:r>
        <w:t xml:space="preserve">This script assesses robustness, sensitivity and model risk of the public reduced-form DFAST replication engine. It evaluates error concentration, threshold sensitivity, year and scenario robustness, bank-level model risk and key limitations.</w:t>
      </w:r>
    </w:p>
    <w:p>
      <w:pPr>
        <w:pStyle w:val="Titre2"/>
      </w:pPr>
      <w:r>
        <w:t xml:space="preserve">2. Executive model risk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57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risk assessment observations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Exercise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Duplicated keys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CET1 minimum ratio RMSE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CET1 minimum ratio MAE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CET1 minimum ratio bias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CET1 minimum ratio 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CET1 minimum ratio correlation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Largest absolute CET1 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5.0721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model risk observations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 model risk observations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Watchlist observations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model risk observations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 error cutoff p95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Threshold misses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Near-threshold observations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</w:t>
            </w:r>
          </w:p>
        </w:tc>
      </w:tr>
    </w:tbl>
    <w:p>
      <w:pPr>
        <w:pStyle w:val="Titre2"/>
      </w:pPr>
      <w:r>
        <w:t xml:space="preserve">3. Overall robustness metrics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1658"/>
        <w:gridCol w:w="1695"/>
        <w:gridCol w:w="1988"/>
        <w:gridCol w:w="2136"/>
        <w:gridCol w:w="1695"/>
        <w:gridCol w:w="1695"/>
        <w:gridCol w:w="2649"/>
        <w:gridCol w:w="1451"/>
        <w:gridCol w:w="1842"/>
        <w:gridCol w:w="1842"/>
        <w:gridCol w:w="1842"/>
        <w:gridCol w:w="1842"/>
        <w:gridCol w:w="189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actual_mean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predicted_mean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r2_outcome_prediction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abs_error_p50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abs_error_p75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abs_error_p90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abs_error_p95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abs_error_max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Credit loss ratio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0.04196490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0.04189275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-0.000072149952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0.005962158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0.004283241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0.9560181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0.9777666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0.002964208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0.005716542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0.009916689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0.01283567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0.02534431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PPNR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0.04501647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0.04500941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-0.000007063065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0.009331398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0.006536371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0.9199794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0.9591610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0.004718598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0.008711112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0.014359023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0.02002280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0.04853347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CET1 capital depletion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2.66714990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2.66754904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0.000399139507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0.789149976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0.569840886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0.8378545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0.9153451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0.405503661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0.790334876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1.325341157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1.58129071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4.46525265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CET1 minimum ratio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10.68158954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10.69613305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0.014543516429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0.845996885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0.587317641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0.9688421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0.9843206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0.412464313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0.791690176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1.342781992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1.61629583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5.07213216</w:t>
            </w:r>
          </w:p>
        </w:tc>
      </w:tr>
    </w:tbl>
    <w:p>
      <w:pPr>
        <w:pStyle w:val="Titre2"/>
      </w:pPr>
      <w:r>
        <w:t xml:space="preserve">4. Bank-level model risk ranking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4531"/>
        <w:gridCol w:w="1658"/>
        <w:gridCol w:w="1451"/>
        <w:gridCol w:w="1451"/>
        <w:gridCol w:w="2428"/>
        <w:gridCol w:w="3382"/>
        <w:gridCol w:w="3260"/>
        <w:gridCol w:w="267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bank_model_risk_rank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cet1_rmse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cet1_mae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max_abs_cet1_error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high_model_risk_observations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threshold_miss_observations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max_model_risk_score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HSBC North America Holdings Inc.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1.1591378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0.9577695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2.1972984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0.9323589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 Street 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1.5694265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1.2020269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4.4652526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0.8837702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BMO Financial Corp.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0.8293021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0.6986953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1.3868427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0.8623992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UBS Americas Holding LLC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1.0229083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0.7775894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2.1495337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0.8576613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One Financial 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0.5984675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0.4751921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1.2112600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0.8333669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Morgan Stanley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1.0446426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0.8322446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2.2553280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0.8150202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Discover Financial 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0.9280718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0.6870612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2.2780197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0.8105847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Bank of New York Mellon 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0.9426595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0.8157117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1.5517827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0.8028226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Goldman Sachs Group, Inc.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1.1002585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0.9117777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2.0762720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0.7932460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Credit Suisse Holdings (USA), Inc.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1.3542143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0.9602322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3.3509617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0.7856855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PNC Financial Services Group, Inc.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0.6439145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0.4888335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1.5668133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0.7780242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TD Group US Holdings LLC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0.8375786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0.7173088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1.8666236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0.7775202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DB USA 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2.4421312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1.9454975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5.0721322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0.7482863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KeyCorp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0.5886617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0.4190941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1.3043717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0.7461694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U.S. Bancorp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0.4120240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0.3603098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0.9008574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0.7454637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M&amp;T Bank 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0.4077425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0.3368494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0.9175108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0.7434476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Zions Bancorporation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0.4476225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0.3652071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0.7304142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0.7361895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Huntington Bancshares Incorporated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0.6980343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0.5215961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1.6203235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0.7280242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Charles Schwab 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0.7406715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0.6407413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1.3407719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0.7125000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Citigroup Inc.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0.7421967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0.6076010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1.5727912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0.7094758</w:t>
            </w:r>
          </w:p>
        </w:tc>
      </w:tr>
    </w:tbl>
    <w:p>
      <w:pPr>
        <w:pStyle w:val="Titre2"/>
      </w:pPr>
      <w:r>
        <w:t xml:space="preserve">5. Largest model risk observations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31"/>
        <w:gridCol w:w="1780"/>
        <w:gridCol w:w="3431"/>
        <w:gridCol w:w="2881"/>
        <w:gridCol w:w="3982"/>
        <w:gridCol w:w="2966"/>
        <w:gridCol w:w="3444"/>
        <w:gridCol w:w="2404"/>
        <w:gridCol w:w="213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exercise_year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observed_cet1_min_ratio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integrated_predicted_cet1_min_ratio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cet1_min_prediction_error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abs_cet1_min_prediction_error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model_risk_bucket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model_risk_score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HSBC North America Holdings Inc.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Alternative Severe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7.173870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2.073870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2.073870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model risk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0.9323589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HSBC North America Holdings Inc.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7.840436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1.440436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1.440436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model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0.9110887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 Street 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9.765253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4.465253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4.465253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model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0.8837702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BMO Financial Corp.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6.948117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-1.351883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1.351883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model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0.8623992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UBS Americas Holding LLC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9.911904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1.911904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1.911904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 model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0.8576613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One Financial 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8.011260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1.211260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1.211260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model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0.8333669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One Financial 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model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0.8202621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Morgan Stanley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9.555328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2.255328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2.255328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model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0.8150202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Discover Financial 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11.421980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-2.278020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2.278020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model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0.8105847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Bank of New York Mellon 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12.545660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1.545660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1.545660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 model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0.8028226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 Street Corporation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10.760586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2.160586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2.160586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model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0.8016129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Goldman Sachs Group, Inc.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9.737598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-1.662402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1.662402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 model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0.7932460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UBS Americas Holding LLC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12.149534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2.149534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2.149534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model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0.7911290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Credit Suisse Holdings (USA), Inc.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23.450962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3.350962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3.350962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model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0.7856855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PNC Financial Services Group, Inc.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7.966813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1.566813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1.566813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model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0.7780242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TD Group US Holdings LLC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13.066624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1.866624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1.866624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 model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0.7775202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HSBC North America Holdings Inc.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10.702702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-2.197298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2.197298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model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0.7752016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Morgan Stanley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10.836565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1.936565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1.936565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 model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0.7727823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Goldman Sachs Group, Inc.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Severely Adverse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8.615289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1.615289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1.615289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 model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0.7686492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 Street Corporation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Supervisory Adverse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10.650889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-1.449111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1.449111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 model risk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0.7625000</w:t>
            </w:r>
          </w:p>
        </w:tc>
      </w:tr>
    </w:tbl>
    <w:p>
      <w:pPr>
        <w:pStyle w:val="Titre2"/>
      </w:pPr>
      <w:r>
        <w:t xml:space="preserve">6. Threshold sensitivity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16"/>
        <w:gridCol w:w="1658"/>
        <w:gridCol w:w="2013"/>
        <w:gridCol w:w="2013"/>
        <w:gridCol w:w="2269"/>
        <w:gridCol w:w="2661"/>
        <w:gridCol w:w="1744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threshold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observed_below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predicted_below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correctly_classified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classification_accuracy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false_positive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false_negative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0.9979879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0.9859155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0.9818913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0.9678068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0.9557344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0.9235412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0.9175050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0.9315895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0.9255533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0.9134809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0.9154930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</w:tr>
    </w:tbl>
    <w:p>
      <w:pPr>
        <w:pStyle w:val="Titre2"/>
      </w:pPr>
      <w:r>
        <w:t xml:space="preserve">7. Model risk limits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52"/>
        <w:gridCol w:w="14766"/>
        <w:gridCol w:w="1009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risk_description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mitigation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Public-data limitation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engine uses public DFAST outputs and does not observe confidential supervisory model inputs.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 the public-data scope and cite Federal Reserve public DFAST sources in the final report.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Bank-specific supervisory adjustments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 large errors are concentrated in specific bank-year-scenario observations, reflecting idiosyncratic bank structures or supervisory adjustments.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 largest errors and bank-level model risk rankings.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 error concentration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 errors are assessed separately because average performance can hide localized deviations.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 tail error tables and high-risk observation flags.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Threshold 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Capital threshold classification is robust at 4.5 percent but should also be monitored around the 7.0 percent reference level.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 threshold sensitivity across a grid of CET1 cutoffs.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Scenario heterogeneity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performance can vary across exercise years and supervisory scenarios.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 validation by year and scenario.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component interaction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Credit loss, PPNR and capital depletion errors can interact when translated into CET1 minimum projections.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Validate components separately and in integrated form.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Ranking interpretation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Vulnerability rankings are relative outputs of the public reduced-form model, not official supervisory assessments.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 clearly that rankings are analytical benchmarks.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 restriction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project is suitable for public benchmarking, educational replication and model-risk discussion, not for official capital planning decisions.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Include formal disclaimer in README, report and technical manual.</w:t>
            </w:r>
          </w:p>
        </w:tc>
      </w:tr>
    </w:tbl>
    <w:p>
      <w:pPr>
        <w:pStyle w:val="Titre2"/>
      </w:pPr>
      <w:r>
        <w:t xml:space="preserve">8. Model risk conclusion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52"/>
        <w:gridCol w:w="1466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conclusion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 CET1 fit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integrated model achieves CET1 R-squared of 0.9688 and correlation of 0.9843.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Average 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CET1 minimum ratio RMSE is 0.846 and MAE is 0.5873 percentage points.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average CET1 prediction bias is 0.0145, indicating limited systematic bias.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largest absolute CET1 error is 5.0721 percentage points and is treated as tail model risk.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Threshold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threshold sensitivity analysis confirms classification performance across CET1 cutoffs, with special attention to the 7.0 percent reference level.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Operational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model can be used as a public reduced-form benchmark and stress test replication engine.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Final model-risk judgement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risk is assessed as manageable for public benchmarking, provided that limitations and tail deviations are explicitly reported.</w:t>
            </w:r>
          </w:p>
        </w:tc>
      </w:tr>
    </w:tbl>
    <w:p>
      <w:pPr>
        <w:pStyle w:val="Titre2"/>
      </w:pPr>
      <w:r>
        <w:t xml:space="preserve">9. Methodological note</w:t>
      </w:r>
    </w:p>
    <w:p>
      <w:pPr>
        <w:pStyle w:val="Normal"/>
      </w:pPr>
      <w:r>
        <w:t xml:space="preserve">The model risk assessment is based on public benchmark validation outputs. It does not assess confidential Federal Reserve supervisory models, confidential bank submissions or internal bank capital planning models.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2026-06-30T07:41:02Z</dcterms:modified>
  <cp:category/>
</cp:coreProperties>
</file>