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08 - Build Modelling Sample and Treatment Rules</w:t>
      </w:r>
    </w:p>
    <w:p>
      <w:pPr>
        <w:pStyle w:val="Normal"/>
      </w:pPr>
      <w:r>
        <w:t xml:space="preserve">USA Bank Stress Test DFAST Replication</w:t>
      </w:r>
    </w:p>
    <w:p>
      <w:pPr>
        <w:pStyle w:val="Normal"/>
      </w:pPr>
      <w:r>
        <w:t xml:space="preserve">2026-06-30 04:46:48</w:t>
      </w:r>
    </w:p>
    <w:p>
      <w:pPr>
        <w:pStyle w:val="Titre2"/>
      </w:pPr>
      <w:r>
        <w:t xml:space="preserve">1. Objective</w:t>
      </w:r>
    </w:p>
    <w:p>
      <w:pPr>
        <w:pStyle w:val="Normal"/>
      </w:pPr>
      <w:r>
        <w:t xml:space="preserve">This script constructs modelling-ready samples from the DFAST transmission layer. It defines dependent variables, treatment variables, outlier flags and winsorized variables for later econometric estimation.</w:t>
      </w:r>
    </w:p>
    <w:p>
      <w:pPr>
        <w:pStyle w:val="Titre2"/>
      </w:pPr>
      <w:r>
        <w:t xml:space="preserve">2. Execution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2771"/>
        <w:gridCol w:w="4934"/>
        <w:gridCol w:w="3249"/>
        <w:gridCol w:w="3249"/>
        <w:gridCol w:w="1475"/>
        <w:gridCol w:w="1829"/>
        <w:gridCol w:w="2771"/>
        <w:gridCol w:w="2868"/>
        <w:gridCol w:w="2343"/>
        <w:gridCol w:w="2086"/>
        <w:gridCol w:w="3015"/>
        <w:gridCol w:w="2404"/>
        <w:gridCol w:w="2600"/>
        <w:gridCol w:w="279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project_root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input_columns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modelling_sample_rows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winsorized_sample_rows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outliers_detected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credit_loss_model_sample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ppnr_model_sample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capital_model_sample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full_core_model_sample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build_modelling_sample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2026-06-30 04:46:44.920781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2026-06-30 04:46:47.341674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</w:tr>
    </w:tbl>
    <w:p>
      <w:pPr>
        <w:pStyle w:val="Titre2"/>
      </w:pPr>
      <w:r>
        <w:t xml:space="preserve">3. Modelling sample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5"/>
        <w:gridCol w:w="1658"/>
        <w:gridCol w:w="257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share_of_raw_sample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raw_transmission_panel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credit_loss_model_sample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0.7819549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ppnr_model_sample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0.7819549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capital_model_sample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0.7819549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full_core_model_sample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0.7819549</w:t>
            </w:r>
          </w:p>
        </w:tc>
      </w:tr>
    </w:tbl>
    <w:p>
      <w:pPr>
        <w:pStyle w:val="Titre2"/>
      </w:pPr>
      <w:r>
        <w:t xml:space="preserve">4. Variable treatment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1658"/>
        <w:gridCol w:w="1646"/>
        <w:gridCol w:w="1829"/>
        <w:gridCol w:w="1769"/>
        <w:gridCol w:w="1769"/>
        <w:gridCol w:w="1769"/>
        <w:gridCol w:w="1573"/>
        <w:gridCol w:w="1769"/>
        <w:gridCol w:w="169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non_missing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missing_share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mean_raw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median_raw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min_raw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max_raw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x_loan_loss_burden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0.895717053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0.915966387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-43.00000000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-8.484155844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5.57333333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x_observed_loss_burden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1.191013727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1.111111111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-9.212121212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9.05142857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x_ppnr_absorption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1.158611579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0.851141079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-0.288547009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7.03181818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x_ppnr_to_losses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0.001503759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1.960638437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-2.42857143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-0.647777778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21.20555556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x_provision_ratio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0.001503759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1.070098265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1.081081081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0.670952381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1.39300000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x_rwa_growth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0.218045113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0.029475045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0.005423089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-0.24613003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0.4195205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-0.115443409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0.21145116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y_capital_depletion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0.172932331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2.767818182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-0.551000000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9.25100000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y_credit_loss_rate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5.832631579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1.064000000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16.68000000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y_credit_loss_ratio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0.218045113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0.042203483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0.039843324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0.2083793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0.001643951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0.15634525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y_ppnr_rate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3.082706767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-0.436000000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14.90000000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y_ppnr_ratio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0.218045113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0.044495364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0.037865450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-0.04557641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0.2428571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-0.010924126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0.16941244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y_pretax_margin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0.218045113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-0.006968148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-0.010002398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-0.10723861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0.1338384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-0.071729560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0.07522233</w:t>
            </w:r>
          </w:p>
        </w:tc>
      </w:tr>
    </w:tbl>
    <w:p>
      <w:pPr>
        <w:pStyle w:val="Titre2"/>
      </w:pPr>
      <w:r>
        <w:t xml:space="preserve">5. Outlier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1670"/>
        <w:gridCol w:w="1903"/>
        <w:gridCol w:w="18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outlier_count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banks_affected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years_affected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x_loan_loss_burden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x_observed_loss_burden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x_ppnr_absorption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x_ppnr_to_losses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x_provision_ratio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y_credit_loss_rate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y_ppnr_rate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x_rwa_growth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y_capital_depletion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y_credit_loss_ratio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y_ppnr_ratio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y_pretax_margin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</w:tbl>
    <w:p>
      <w:pPr>
        <w:pStyle w:val="Titre2"/>
      </w:pPr>
      <w:r>
        <w:t xml:space="preserve">6. Methodological note</w:t>
      </w:r>
    </w:p>
    <w:p>
      <w:pPr>
        <w:pStyle w:val="Normal"/>
      </w:pPr>
      <w:r>
        <w:t xml:space="preserve">The script preserves the raw modelling sample and creates winsorized variables separately. This avoids overwriting public DFAST values while providing a robust estimation-ready dataset.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2026-06-30T04:46:52Z</dcterms:modified>
  <cp:category/>
</cp:coreProperties>
</file>